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kinsoku/>
        <w:wordWrap/>
        <w:overflowPunct/>
        <w:topLinePunct w:val="0"/>
        <w:autoSpaceDE/>
        <w:autoSpaceDN/>
        <w:bidi w:val="0"/>
        <w:adjustRightInd/>
        <w:snapToGrid w:val="0"/>
        <w:spacing w:line="560" w:lineRule="exact"/>
        <w:textAlignment w:val="auto"/>
        <w:rPr>
          <w:rFonts w:hint="eastAsia" w:ascii="黑体" w:hAnsi="黑体" w:eastAsia="黑体" w:cs="黑体"/>
          <w:b w:val="0"/>
          <w:bCs/>
          <w:color w:val="auto"/>
          <w:kern w:val="0"/>
          <w:sz w:val="31"/>
          <w:szCs w:val="31"/>
          <w:lang w:val="en-US" w:eastAsia="zh-CN" w:bidi="ar"/>
        </w:rPr>
      </w:pPr>
      <w:r>
        <w:rPr>
          <w:rFonts w:hint="eastAsia" w:ascii="黑体" w:hAnsi="黑体" w:eastAsia="黑体" w:cs="黑体"/>
          <w:b w:val="0"/>
          <w:bCs/>
          <w:color w:val="auto"/>
          <w:kern w:val="0"/>
          <w:sz w:val="31"/>
          <w:szCs w:val="31"/>
          <w:lang w:val="en-US" w:eastAsia="zh-CN" w:bidi="ar"/>
        </w:rPr>
        <w:t>附件1</w:t>
      </w:r>
    </w:p>
    <w:p>
      <w:pPr>
        <w:keepNext w:val="0"/>
        <w:keepLines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工业园区、开发区内</w:t>
      </w:r>
      <w:r>
        <w:rPr>
          <w:rFonts w:hint="eastAsia" w:ascii="方正小标宋简体" w:hAnsi="方正小标宋简体" w:eastAsia="方正小标宋简体" w:cs="方正小标宋简体"/>
          <w:color w:val="auto"/>
          <w:sz w:val="44"/>
          <w:szCs w:val="44"/>
        </w:rPr>
        <w:t>社会</w:t>
      </w:r>
    </w:p>
    <w:p>
      <w:pPr>
        <w:keepNext w:val="0"/>
        <w:keepLines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投资低风险工程建设项目清单</w:t>
      </w:r>
    </w:p>
    <w:tbl>
      <w:tblPr>
        <w:tblStyle w:val="11"/>
        <w:tblpPr w:leftFromText="180" w:rightFromText="180" w:vertAnchor="text" w:horzAnchor="page" w:tblpX="1342" w:tblpY="394"/>
        <w:tblOverlap w:val="never"/>
        <w:tblW w:w="9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382"/>
        <w:gridCol w:w="1665"/>
        <w:gridCol w:w="2820"/>
        <w:gridCol w:w="1410"/>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序号</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建筑物</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性质</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用途限定</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条件</w:t>
            </w:r>
          </w:p>
        </w:tc>
        <w:tc>
          <w:tcPr>
            <w:tcW w:w="2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位置</w:t>
            </w:r>
          </w:p>
        </w:tc>
        <w:tc>
          <w:tcPr>
            <w:tcW w:w="278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建筑规模</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8"/>
                <w:szCs w:val="28"/>
              </w:rPr>
            </w:pPr>
            <w:r>
              <w:rPr>
                <w:rFonts w:hint="eastAsia" w:ascii="仿宋_GB2312" w:hAnsi="仿宋_GB2312" w:eastAsia="仿宋_GB2312" w:cs="仿宋_GB2312"/>
                <w:b/>
                <w:bCs/>
                <w:color w:val="auto"/>
                <w:sz w:val="28"/>
                <w:szCs w:val="28"/>
              </w:rPr>
              <w:t>和形式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0" w:hRule="atLeast"/>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w:t>
            </w:r>
          </w:p>
        </w:tc>
        <w:tc>
          <w:tcPr>
            <w:tcW w:w="1382"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sz w:val="21"/>
                <w:szCs w:val="21"/>
              </w:rPr>
            </w:pPr>
            <w:r>
              <w:rPr>
                <w:rFonts w:hint="eastAsia" w:ascii="仿宋_GB2312" w:hAnsi="仿宋_GB2312" w:eastAsia="仿宋_GB2312" w:cs="仿宋_GB2312"/>
                <w:color w:val="auto"/>
                <w:sz w:val="21"/>
                <w:szCs w:val="21"/>
              </w:rPr>
              <w:t>办公</w:t>
            </w:r>
            <w:r>
              <w:rPr>
                <w:rFonts w:hint="eastAsia" w:ascii="仿宋_GB2312" w:hAnsi="仿宋_GB2312" w:eastAsia="仿宋_GB2312" w:cs="仿宋_GB2312"/>
                <w:color w:val="auto"/>
                <w:sz w:val="21"/>
                <w:szCs w:val="21"/>
                <w:lang w:eastAsia="zh-CN"/>
              </w:rPr>
              <w:t>类</w:t>
            </w:r>
            <w:r>
              <w:rPr>
                <w:rFonts w:hint="eastAsia" w:ascii="仿宋_GB2312" w:hAnsi="仿宋_GB2312" w:cs="仿宋_GB2312"/>
                <w:color w:val="auto"/>
                <w:sz w:val="21"/>
                <w:szCs w:val="21"/>
                <w:lang w:eastAsia="zh-CN"/>
              </w:rPr>
              <w:t>、</w:t>
            </w:r>
            <w:r>
              <w:rPr>
                <w:sz w:val="21"/>
                <w:szCs w:val="21"/>
              </w:rPr>
              <w:t>公共服务</w:t>
            </w:r>
          </w:p>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z w:val="21"/>
                <w:szCs w:val="21"/>
                <w:lang w:eastAsia="zh-CN"/>
              </w:rPr>
            </w:pPr>
            <w:r>
              <w:rPr>
                <w:sz w:val="21"/>
                <w:szCs w:val="21"/>
              </w:rPr>
              <w:t>设施（含变配电工程）</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未设置化学或生物实验室</w:t>
            </w:r>
            <w:r>
              <w:rPr>
                <w:rFonts w:hint="eastAsia" w:ascii="仿宋_GB2312" w:hAnsi="仿宋_GB2312" w:cs="仿宋_GB2312"/>
                <w:color w:val="auto"/>
                <w:sz w:val="21"/>
                <w:szCs w:val="21"/>
                <w:lang w:eastAsia="zh-CN"/>
              </w:rPr>
              <w:t>，</w:t>
            </w:r>
            <w:r>
              <w:rPr>
                <w:sz w:val="21"/>
                <w:szCs w:val="21"/>
              </w:rPr>
              <w:t>不含幼儿园、学校、医院、养老院、影剧院、体育场馆</w:t>
            </w:r>
          </w:p>
        </w:tc>
        <w:tc>
          <w:tcPr>
            <w:tcW w:w="28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位于</w:t>
            </w:r>
            <w:r>
              <w:rPr>
                <w:rFonts w:hint="eastAsia" w:ascii="仿宋_GB2312" w:hAnsi="仿宋_GB2312" w:eastAsia="仿宋_GB2312" w:cs="仿宋_GB2312"/>
                <w:color w:val="auto"/>
                <w:sz w:val="21"/>
                <w:szCs w:val="21"/>
                <w:lang w:eastAsia="zh-CN"/>
              </w:rPr>
              <w:t>工业园区、开发区内</w:t>
            </w:r>
            <w:r>
              <w:rPr>
                <w:rFonts w:hint="eastAsia" w:ascii="仿宋_GB2312" w:hAnsi="仿宋_GB2312" w:eastAsia="仿宋_GB2312" w:cs="仿宋_GB2312"/>
                <w:color w:val="auto"/>
                <w:sz w:val="21"/>
                <w:szCs w:val="21"/>
              </w:rPr>
              <w:t>；未位于自然保护地、饮用水源等生态保护红线和文物保护范围、地下文物埋藏区等风貌保护区、《建设项目环境影响评价分类管理名录》确定的环境敏感区；未位于用途变更为公共服务用地的污染地块区域；未涉及生态公益林；未位于机要单位和名木名树30米范围内。</w:t>
            </w:r>
          </w:p>
        </w:tc>
        <w:tc>
          <w:tcPr>
            <w:tcW w:w="141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总建筑面积不大于5000平方米且高度不大于24米且地下不超过一层</w:t>
            </w:r>
          </w:p>
        </w:tc>
        <w:tc>
          <w:tcPr>
            <w:tcW w:w="137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仅限钢筋混凝土结构建筑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5" w:hRule="atLeast"/>
        </w:trPr>
        <w:tc>
          <w:tcPr>
            <w:tcW w:w="61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w:t>
            </w:r>
          </w:p>
        </w:tc>
        <w:tc>
          <w:tcPr>
            <w:tcW w:w="13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小型普通仓库、厂房</w:t>
            </w:r>
            <w:r>
              <w:rPr>
                <w:rFonts w:hint="eastAsia" w:ascii="仿宋_GB2312" w:hAnsi="仿宋_GB2312" w:eastAsia="仿宋_GB2312" w:cs="仿宋_GB2312"/>
                <w:color w:val="auto"/>
                <w:sz w:val="21"/>
                <w:szCs w:val="21"/>
                <w:lang w:eastAsia="zh-CN"/>
              </w:rPr>
              <w:t>、公共服务配套用房</w:t>
            </w:r>
          </w:p>
        </w:tc>
        <w:tc>
          <w:tcPr>
            <w:tcW w:w="16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不存放易燃、易爆、有毒、有害物品或危险品</w:t>
            </w:r>
          </w:p>
        </w:tc>
        <w:tc>
          <w:tcPr>
            <w:tcW w:w="28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z w:val="21"/>
                <w:szCs w:val="21"/>
              </w:rPr>
            </w:pPr>
          </w:p>
        </w:tc>
        <w:tc>
          <w:tcPr>
            <w:tcW w:w="1410"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440" w:lineRule="exact"/>
              <w:jc w:val="center"/>
              <w:textAlignment w:val="auto"/>
              <w:rPr>
                <w:rFonts w:hint="eastAsia" w:ascii="仿宋_GB2312" w:hAnsi="仿宋_GB2312" w:eastAsia="仿宋_GB2312" w:cs="仿宋_GB2312"/>
                <w:color w:val="auto"/>
                <w:sz w:val="21"/>
                <w:szCs w:val="21"/>
              </w:rPr>
            </w:pPr>
          </w:p>
        </w:tc>
        <w:tc>
          <w:tcPr>
            <w:tcW w:w="13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跨度小于18米的单层厂房或仓库；跨度小于9米且楼盖无动荷载的3层及以下多层厂房或仓库</w:t>
            </w:r>
          </w:p>
        </w:tc>
      </w:tr>
    </w:tbl>
    <w:p>
      <w:pPr>
        <w:keepNext w:val="0"/>
        <w:keepLines w:val="0"/>
        <w:kinsoku/>
        <w:wordWrap/>
        <w:overflowPunct/>
        <w:topLinePunct w:val="0"/>
        <w:autoSpaceDE/>
        <w:autoSpaceDN/>
        <w:bidi w:val="0"/>
        <w:adjustRightInd/>
        <w:snapToGrid w:val="0"/>
        <w:spacing w:line="560" w:lineRule="exact"/>
        <w:jc w:val="center"/>
        <w:textAlignment w:val="auto"/>
        <w:rPr>
          <w:rFonts w:hint="eastAsia" w:ascii="仿宋_GB2312" w:hAnsi="仿宋_GB2312" w:eastAsia="仿宋_GB2312" w:cs="仿宋_GB2312"/>
          <w:color w:val="auto"/>
          <w:sz w:val="31"/>
          <w:szCs w:val="31"/>
        </w:rPr>
      </w:pPr>
    </w:p>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注：《建设工程消防设计审查验收管理暂行规定》规定的特殊建设工程除外。</w:t>
      </w:r>
    </w:p>
    <w:p>
      <w:pPr>
        <w:keepNext w:val="0"/>
        <w:keepLines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color w:val="auto"/>
          <w:sz w:val="31"/>
          <w:szCs w:val="31"/>
        </w:rPr>
      </w:pPr>
    </w:p>
    <w:p>
      <w:pPr>
        <w:keepNext w:val="0"/>
        <w:keepLines w:val="0"/>
        <w:pageBreakBefore/>
        <w:kinsoku/>
        <w:wordWrap/>
        <w:overflowPunct/>
        <w:topLinePunct w:val="0"/>
        <w:autoSpaceDE/>
        <w:autoSpaceDN/>
        <w:bidi w:val="0"/>
        <w:adjustRightInd/>
        <w:snapToGrid w:val="0"/>
        <w:spacing w:line="560" w:lineRule="exact"/>
        <w:textAlignment w:val="auto"/>
        <w:rPr>
          <w:rFonts w:hint="eastAsia" w:ascii="黑体" w:hAnsi="黑体" w:eastAsia="黑体" w:cs="黑体"/>
          <w:b w:val="0"/>
          <w:bCs/>
          <w:color w:val="auto"/>
          <w:kern w:val="0"/>
          <w:sz w:val="31"/>
          <w:szCs w:val="31"/>
          <w:lang w:val="en-US" w:eastAsia="zh-CN" w:bidi="ar"/>
        </w:rPr>
      </w:pPr>
      <w:r>
        <w:rPr>
          <w:rFonts w:hint="eastAsia" w:ascii="黑体" w:hAnsi="黑体" w:eastAsia="黑体" w:cs="黑体"/>
          <w:b w:val="0"/>
          <w:bCs/>
          <w:color w:val="auto"/>
          <w:kern w:val="0"/>
          <w:sz w:val="31"/>
          <w:szCs w:val="31"/>
          <w:lang w:val="en-US" w:eastAsia="zh-CN" w:bidi="ar"/>
        </w:rPr>
        <w:t>附件2</w:t>
      </w:r>
    </w:p>
    <w:p>
      <w:pPr>
        <w:keepNext w:val="0"/>
        <w:keepLines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工业园区、开发区内</w:t>
      </w:r>
    </w:p>
    <w:p>
      <w:pPr>
        <w:keepNext w:val="0"/>
        <w:keepLines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社会投资低风险项目审批事项清单</w:t>
      </w:r>
    </w:p>
    <w:tbl>
      <w:tblPr>
        <w:tblStyle w:val="12"/>
        <w:tblpPr w:leftFromText="180" w:rightFromText="180" w:vertAnchor="text" w:horzAnchor="page" w:tblpX="1557" w:tblpY="179"/>
        <w:tblOverlap w:val="never"/>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30"/>
        <w:gridCol w:w="4740"/>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70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分类</w:t>
            </w:r>
          </w:p>
        </w:tc>
        <w:tc>
          <w:tcPr>
            <w:tcW w:w="183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审批事项</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保留清单</w:t>
            </w:r>
          </w:p>
        </w:tc>
        <w:tc>
          <w:tcPr>
            <w:tcW w:w="474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审批事项</w:t>
            </w:r>
          </w:p>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豁免或取消清单</w:t>
            </w:r>
          </w:p>
        </w:tc>
        <w:tc>
          <w:tcPr>
            <w:tcW w:w="1430" w:type="dxa"/>
            <w:vAlign w:val="center"/>
          </w:tcPr>
          <w:p>
            <w:pPr>
              <w:keepNext w:val="0"/>
              <w:keepLines w:val="0"/>
              <w:pageBreakBefore w:val="0"/>
              <w:widowControl w:val="0"/>
              <w:kinsoku/>
              <w:wordWrap/>
              <w:overflowPunct/>
              <w:topLinePunct w:val="0"/>
              <w:autoSpaceDE/>
              <w:autoSpaceDN/>
              <w:bidi w:val="0"/>
              <w:adjustRightInd/>
              <w:snapToGrid w:val="0"/>
              <w:spacing w:line="48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告知承诺制审批事项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5" w:hRule="atLeast"/>
        </w:trPr>
        <w:tc>
          <w:tcPr>
            <w:tcW w:w="70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办公</w:t>
            </w:r>
          </w:p>
          <w:p>
            <w:pPr>
              <w:spacing w:line="340" w:lineRule="exact"/>
              <w:jc w:val="center"/>
              <w:rPr>
                <w:sz w:val="21"/>
                <w:szCs w:val="21"/>
              </w:rPr>
            </w:pPr>
            <w:r>
              <w:rPr>
                <w:rFonts w:hint="eastAsia" w:ascii="仿宋_GB2312" w:hAnsi="仿宋_GB2312" w:eastAsia="仿宋_GB2312" w:cs="仿宋_GB2312"/>
                <w:color w:val="auto"/>
                <w:sz w:val="21"/>
                <w:szCs w:val="21"/>
                <w:lang w:val="en-US" w:eastAsia="zh-CN"/>
              </w:rPr>
              <w:t>类</w:t>
            </w:r>
            <w:r>
              <w:rPr>
                <w:rFonts w:hint="eastAsia" w:ascii="仿宋_GB2312" w:hAnsi="仿宋_GB2312" w:cs="仿宋_GB2312"/>
                <w:color w:val="auto"/>
                <w:sz w:val="21"/>
                <w:szCs w:val="21"/>
                <w:lang w:val="en-US" w:eastAsia="zh-CN"/>
              </w:rPr>
              <w:t>、</w:t>
            </w:r>
            <w:r>
              <w:rPr>
                <w:sz w:val="21"/>
                <w:szCs w:val="21"/>
              </w:rPr>
              <w:t>公共服务</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sz w:val="21"/>
                <w:szCs w:val="21"/>
              </w:rPr>
              <w:t>设施（含变配电工程）</w:t>
            </w:r>
          </w:p>
        </w:tc>
        <w:tc>
          <w:tcPr>
            <w:tcW w:w="18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1.项目备案</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2.建设工程规划许可证（含临时）核发</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3.建筑工程施工许可证核发</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4.城市新建民用建筑修建防空地下室审批或城市新建民用建筑易地修建防空地下室审批</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p>
        </w:tc>
        <w:tc>
          <w:tcPr>
            <w:tcW w:w="4740" w:type="dxa"/>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1.社会稳定风险评估</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2.固定资产投资项目节能审查</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3.公开出让土地项目免于办理建设用地规划许可证</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4.已开展区域的项目免于办理地质灾害评估报告</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5.带方案出让项目免于办理交通影响评估报告</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6.日照分析审查</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7.施工图审查</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8.消防设计审查</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9</w:t>
            </w:r>
            <w:r>
              <w:rPr>
                <w:rFonts w:hint="eastAsia" w:ascii="仿宋_GB2312" w:hAnsi="仿宋_GB2312" w:eastAsia="仿宋_GB2312" w:cs="仿宋_GB2312"/>
                <w:color w:val="auto"/>
                <w:sz w:val="21"/>
                <w:szCs w:val="21"/>
                <w:lang w:val="en-US" w:eastAsia="zh-CN"/>
              </w:rPr>
              <w:t>.建设项目环境影响登记表备案</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cs="仿宋_GB2312"/>
                <w:color w:val="auto"/>
                <w:sz w:val="21"/>
                <w:szCs w:val="21"/>
                <w:lang w:val="en-US" w:eastAsia="zh-CN"/>
              </w:rPr>
              <w:t>10</w:t>
            </w:r>
            <w:r>
              <w:rPr>
                <w:rFonts w:hint="eastAsia" w:ascii="仿宋_GB2312" w:hAnsi="仿宋_GB2312" w:eastAsia="仿宋_GB2312" w:cs="仿宋_GB2312"/>
                <w:color w:val="auto"/>
                <w:sz w:val="21"/>
                <w:szCs w:val="21"/>
                <w:lang w:val="en-US" w:eastAsia="zh-CN"/>
              </w:rPr>
              <w:t>.建设水土保持登记表备案</w:t>
            </w:r>
          </w:p>
        </w:tc>
        <w:tc>
          <w:tcPr>
            <w:tcW w:w="14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1.建设工程规划许可证（含临时）核发</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2.建筑工程施工许可证核发</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70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sz w:val="21"/>
                <w:szCs w:val="21"/>
              </w:rPr>
            </w:pPr>
            <w:r>
              <w:rPr>
                <w:rFonts w:hint="eastAsia" w:ascii="仿宋_GB2312" w:hAnsi="仿宋_GB2312" w:eastAsia="仿宋_GB2312" w:cs="仿宋_GB2312"/>
                <w:color w:val="auto"/>
                <w:sz w:val="21"/>
                <w:szCs w:val="21"/>
                <w:lang w:val="en-US" w:eastAsia="zh-CN"/>
              </w:rPr>
              <w:t>小型普通仓库和厂房</w:t>
            </w:r>
          </w:p>
        </w:tc>
        <w:tc>
          <w:tcPr>
            <w:tcW w:w="18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1.项目备案</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2.建设工程规划许可证（含临时）核发</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3.建筑工程施工许可证核发</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p>
        </w:tc>
        <w:tc>
          <w:tcPr>
            <w:tcW w:w="4740" w:type="dxa"/>
            <w:vAlign w:val="top"/>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1.社会稳定风险评估</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2.固定资产投资项目节能审查</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3.公开出让土地项目免于办理建设用地规划许可证</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4.已开展区域的项目免于办理地质灾害评估报告</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5.带方案出让项目免于办理交通影响评估报告</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6.日照分析审查</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7.施工图审查</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8.消防设计审查</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9.建设水土保持登记表备案</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10.建设项目环境影响登记表备案</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11.城市新建民用建筑易地修建防空地下室审批（限生产性项目）</w:t>
            </w:r>
          </w:p>
        </w:tc>
        <w:tc>
          <w:tcPr>
            <w:tcW w:w="1430"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1.建设工程规划许可证（含临时）核发</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2.建筑工程施工许可证核发</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color w:val="auto"/>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ascii="仿宋_GB2312" w:hAnsi="仿宋_GB2312" w:eastAsia="仿宋_GB2312" w:cs="仿宋_GB2312"/>
          <w:color w:val="auto"/>
          <w:sz w:val="10"/>
          <w:szCs w:val="10"/>
        </w:rPr>
      </w:pPr>
    </w:p>
    <w:p>
      <w:pPr>
        <w:keepNext w:val="0"/>
        <w:keepLines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color w:val="auto"/>
          <w:kern w:val="0"/>
          <w:sz w:val="31"/>
          <w:szCs w:val="31"/>
          <w:lang w:val="en-US" w:eastAsia="zh-CN" w:bidi="ar"/>
        </w:rPr>
      </w:pPr>
      <w:r>
        <w:rPr>
          <w:rFonts w:hint="eastAsia" w:ascii="黑体" w:hAnsi="黑体" w:eastAsia="黑体" w:cs="黑体"/>
          <w:color w:val="auto"/>
          <w:kern w:val="0"/>
          <w:sz w:val="31"/>
          <w:szCs w:val="31"/>
          <w:lang w:val="en-US" w:eastAsia="zh-CN" w:bidi="ar"/>
        </w:rPr>
        <w:t xml:space="preserve">附件3 </w:t>
      </w:r>
      <w:r>
        <w:rPr>
          <w:rFonts w:hint="eastAsia" w:ascii="仿宋_GB2312" w:hAnsi="仿宋_GB2312" w:eastAsia="仿宋_GB2312" w:cs="仿宋_GB2312"/>
          <w:color w:val="auto"/>
          <w:kern w:val="0"/>
          <w:sz w:val="31"/>
          <w:szCs w:val="31"/>
          <w:lang w:val="en-US" w:eastAsia="zh-CN" w:bidi="ar"/>
        </w:rPr>
        <w:t xml:space="preserve">       </w:t>
      </w:r>
    </w:p>
    <w:p>
      <w:pPr>
        <w:keepNext w:val="0"/>
        <w:keepLines w:val="0"/>
        <w:pageBreakBefore w:val="0"/>
        <w:widowControl w:val="0"/>
        <w:kinsoku/>
        <w:wordWrap/>
        <w:overflowPunct/>
        <w:topLinePunct w:val="0"/>
        <w:autoSpaceDE/>
        <w:autoSpaceDN/>
        <w:bidi w:val="0"/>
        <w:adjustRightInd/>
        <w:snapToGrid w:val="0"/>
        <w:spacing w:line="520" w:lineRule="exact"/>
        <w:ind w:firstLine="2200" w:firstLineChars="500"/>
        <w:jc w:val="both"/>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工业园区、开发区内</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社会投资低风险项目开工条件</w:t>
      </w:r>
    </w:p>
    <w:p>
      <w:pPr>
        <w:keepNext w:val="0"/>
        <w:keepLines w:val="0"/>
        <w:pageBreakBefore w:val="0"/>
        <w:widowControl w:val="0"/>
        <w:kinsoku/>
        <w:wordWrap/>
        <w:overflowPunct/>
        <w:topLinePunct w:val="0"/>
        <w:autoSpaceDE/>
        <w:autoSpaceDN/>
        <w:bidi w:val="0"/>
        <w:adjustRightInd/>
        <w:snapToGrid w:val="0"/>
        <w:spacing w:line="520" w:lineRule="exact"/>
        <w:ind w:firstLine="620" w:firstLineChars="200"/>
        <w:textAlignment w:val="auto"/>
        <w:rPr>
          <w:rFonts w:hint="eastAsia" w:ascii="仿宋_GB2312" w:hAnsi="仿宋_GB2312" w:eastAsia="仿宋_GB2312" w:cs="仿宋_GB2312"/>
          <w:color w:val="auto"/>
          <w:sz w:val="31"/>
          <w:szCs w:val="31"/>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firstLine="620" w:firstLineChars="200"/>
        <w:textAlignment w:val="auto"/>
        <w:rPr>
          <w:rFonts w:hint="eastAsia" w:ascii="黑体" w:hAnsi="黑体" w:eastAsia="黑体" w:cs="黑体"/>
          <w:color w:val="auto"/>
          <w:sz w:val="31"/>
          <w:szCs w:val="31"/>
          <w:lang w:val="en-US" w:eastAsia="zh-CN"/>
        </w:rPr>
      </w:pPr>
      <w:r>
        <w:rPr>
          <w:rFonts w:hint="eastAsia" w:ascii="黑体" w:hAnsi="黑体" w:eastAsia="黑体" w:cs="黑体"/>
          <w:color w:val="auto"/>
          <w:sz w:val="31"/>
          <w:szCs w:val="31"/>
          <w:lang w:val="en-US" w:eastAsia="zh-CN"/>
        </w:rPr>
        <w:t>一、住建部门涉及的开工条件：</w:t>
      </w:r>
    </w:p>
    <w:p>
      <w:pPr>
        <w:keepNext w:val="0"/>
        <w:keepLines w:val="0"/>
        <w:pageBreakBefore w:val="0"/>
        <w:widowControl w:val="0"/>
        <w:kinsoku/>
        <w:wordWrap/>
        <w:overflowPunct/>
        <w:topLinePunct w:val="0"/>
        <w:autoSpaceDE/>
        <w:autoSpaceDN/>
        <w:bidi w:val="0"/>
        <w:adjustRightInd/>
        <w:snapToGrid w:val="0"/>
        <w:spacing w:line="520" w:lineRule="exact"/>
        <w:ind w:firstLine="620" w:firstLineChars="200"/>
        <w:textAlignment w:val="auto"/>
        <w:rPr>
          <w:rFonts w:hint="eastAsia" w:ascii="仿宋_GB2312" w:hAnsi="仿宋_GB2312" w:eastAsia="仿宋_GB2312" w:cs="仿宋_GB2312"/>
          <w:color w:val="auto"/>
          <w:sz w:val="31"/>
          <w:szCs w:val="31"/>
        </w:rPr>
      </w:pPr>
      <w:r>
        <w:rPr>
          <w:rFonts w:hint="eastAsia" w:ascii="仿宋_GB2312" w:hAnsi="仿宋_GB2312" w:eastAsia="仿宋_GB2312" w:cs="仿宋_GB2312"/>
          <w:color w:val="auto"/>
          <w:sz w:val="31"/>
          <w:szCs w:val="31"/>
          <w:lang w:val="en-US" w:eastAsia="zh-CN"/>
        </w:rPr>
        <w:t>1.</w:t>
      </w:r>
      <w:r>
        <w:rPr>
          <w:rFonts w:hint="eastAsia" w:ascii="仿宋_GB2312" w:hAnsi="仿宋_GB2312" w:eastAsia="仿宋_GB2312" w:cs="仿宋_GB2312"/>
          <w:color w:val="auto"/>
          <w:sz w:val="31"/>
          <w:szCs w:val="31"/>
        </w:rPr>
        <w:t>已经办理该建筑工程用地批准手续。</w:t>
      </w:r>
    </w:p>
    <w:p>
      <w:pPr>
        <w:keepNext w:val="0"/>
        <w:keepLines w:val="0"/>
        <w:pageBreakBefore w:val="0"/>
        <w:widowControl w:val="0"/>
        <w:kinsoku/>
        <w:wordWrap/>
        <w:overflowPunct/>
        <w:topLinePunct w:val="0"/>
        <w:autoSpaceDE/>
        <w:autoSpaceDN/>
        <w:bidi w:val="0"/>
        <w:adjustRightInd/>
        <w:snapToGrid w:val="0"/>
        <w:spacing w:line="520" w:lineRule="exact"/>
        <w:ind w:firstLine="620" w:firstLineChars="200"/>
        <w:textAlignment w:val="auto"/>
        <w:rPr>
          <w:rFonts w:hint="eastAsia" w:ascii="仿宋_GB2312" w:hAnsi="仿宋_GB2312" w:eastAsia="仿宋_GB2312" w:cs="仿宋_GB2312"/>
          <w:color w:val="auto"/>
          <w:sz w:val="31"/>
          <w:szCs w:val="31"/>
        </w:rPr>
      </w:pPr>
      <w:r>
        <w:rPr>
          <w:rFonts w:hint="eastAsia" w:ascii="仿宋_GB2312" w:hAnsi="仿宋_GB2312" w:eastAsia="仿宋_GB2312" w:cs="仿宋_GB2312"/>
          <w:color w:val="auto"/>
          <w:sz w:val="31"/>
          <w:szCs w:val="31"/>
          <w:lang w:val="en-US" w:eastAsia="zh-CN"/>
        </w:rPr>
        <w:t>2.</w:t>
      </w:r>
      <w:r>
        <w:rPr>
          <w:rFonts w:hint="eastAsia" w:ascii="仿宋_GB2312" w:hAnsi="仿宋_GB2312" w:eastAsia="仿宋_GB2312" w:cs="仿宋_GB2312"/>
          <w:color w:val="auto"/>
          <w:sz w:val="31"/>
          <w:szCs w:val="31"/>
        </w:rPr>
        <w:t>已经取得建设工程规划许可证。</w:t>
      </w:r>
    </w:p>
    <w:p>
      <w:pPr>
        <w:keepNext w:val="0"/>
        <w:keepLines w:val="0"/>
        <w:pageBreakBefore w:val="0"/>
        <w:widowControl w:val="0"/>
        <w:kinsoku/>
        <w:wordWrap/>
        <w:overflowPunct/>
        <w:topLinePunct w:val="0"/>
        <w:autoSpaceDE/>
        <w:autoSpaceDN/>
        <w:bidi w:val="0"/>
        <w:adjustRightInd/>
        <w:snapToGrid w:val="0"/>
        <w:spacing w:line="520" w:lineRule="exact"/>
        <w:ind w:firstLine="620" w:firstLineChars="200"/>
        <w:textAlignment w:val="auto"/>
        <w:rPr>
          <w:rFonts w:hint="eastAsia" w:ascii="仿宋_GB2312" w:hAnsi="仿宋_GB2312" w:eastAsia="仿宋_GB2312" w:cs="仿宋_GB2312"/>
          <w:color w:val="auto"/>
          <w:sz w:val="31"/>
          <w:szCs w:val="31"/>
          <w:lang w:eastAsia="zh-CN"/>
        </w:rPr>
      </w:pPr>
      <w:r>
        <w:rPr>
          <w:rFonts w:hint="eastAsia" w:ascii="仿宋_GB2312" w:hAnsi="仿宋_GB2312" w:eastAsia="仿宋_GB2312" w:cs="仿宋_GB2312"/>
          <w:color w:val="auto"/>
          <w:sz w:val="31"/>
          <w:szCs w:val="31"/>
          <w:lang w:val="en-US" w:eastAsia="zh-CN"/>
        </w:rPr>
        <w:t>3.</w:t>
      </w:r>
      <w:r>
        <w:rPr>
          <w:rFonts w:hint="eastAsia" w:ascii="仿宋_GB2312" w:hAnsi="仿宋_GB2312" w:eastAsia="仿宋_GB2312" w:cs="仿宋_GB2312"/>
          <w:color w:val="auto"/>
          <w:sz w:val="31"/>
          <w:szCs w:val="31"/>
          <w:lang w:eastAsia="zh-CN"/>
        </w:rPr>
        <w:t>已确定施工企业。</w:t>
      </w:r>
    </w:p>
    <w:p>
      <w:pPr>
        <w:keepNext w:val="0"/>
        <w:keepLines w:val="0"/>
        <w:pageBreakBefore w:val="0"/>
        <w:widowControl w:val="0"/>
        <w:kinsoku/>
        <w:wordWrap/>
        <w:overflowPunct/>
        <w:topLinePunct w:val="0"/>
        <w:autoSpaceDE/>
        <w:autoSpaceDN/>
        <w:bidi w:val="0"/>
        <w:adjustRightInd/>
        <w:snapToGrid w:val="0"/>
        <w:spacing w:line="520" w:lineRule="exact"/>
        <w:ind w:firstLine="620" w:firstLineChars="200"/>
        <w:textAlignment w:val="auto"/>
        <w:rPr>
          <w:rFonts w:hint="eastAsia" w:ascii="仿宋_GB2312" w:hAnsi="仿宋_GB2312" w:eastAsia="仿宋_GB2312" w:cs="仿宋_GB2312"/>
          <w:color w:val="auto"/>
          <w:sz w:val="31"/>
          <w:szCs w:val="31"/>
          <w:lang w:val="en-US" w:eastAsia="zh-CN"/>
        </w:rPr>
      </w:pPr>
      <w:r>
        <w:rPr>
          <w:rFonts w:hint="eastAsia" w:ascii="仿宋_GB2312" w:hAnsi="仿宋_GB2312" w:eastAsia="仿宋_GB2312" w:cs="仿宋_GB2312"/>
          <w:color w:val="auto"/>
          <w:sz w:val="31"/>
          <w:szCs w:val="31"/>
          <w:lang w:val="en-US" w:eastAsia="zh-CN"/>
        </w:rPr>
        <w:t>4.</w:t>
      </w:r>
      <w:r>
        <w:rPr>
          <w:rFonts w:hint="eastAsia" w:ascii="仿宋_GB2312" w:hAnsi="仿宋_GB2312" w:eastAsia="仿宋_GB2312" w:cs="仿宋_GB2312"/>
          <w:color w:val="auto"/>
          <w:sz w:val="31"/>
          <w:szCs w:val="31"/>
        </w:rPr>
        <w:t>有满足施工需要的技术资料</w:t>
      </w:r>
      <w:r>
        <w:rPr>
          <w:rFonts w:hint="eastAsia" w:ascii="仿宋_GB2312" w:hAnsi="仿宋_GB2312" w:eastAsia="仿宋_GB2312" w:cs="仿宋_GB2312"/>
          <w:color w:val="auto"/>
          <w:sz w:val="31"/>
          <w:szCs w:val="31"/>
          <w:lang w:val="en-US"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20" w:firstLineChars="200"/>
        <w:textAlignment w:val="auto"/>
        <w:rPr>
          <w:rFonts w:hint="eastAsia" w:ascii="仿宋_GB2312" w:hAnsi="仿宋_GB2312" w:eastAsia="仿宋_GB2312" w:cs="仿宋_GB2312"/>
          <w:color w:val="auto"/>
          <w:sz w:val="31"/>
          <w:szCs w:val="31"/>
          <w:lang w:val="en-US" w:eastAsia="zh-CN"/>
        </w:rPr>
      </w:pPr>
      <w:r>
        <w:rPr>
          <w:rFonts w:hint="eastAsia" w:ascii="仿宋_GB2312" w:hAnsi="仿宋_GB2312" w:eastAsia="仿宋_GB2312" w:cs="仿宋_GB2312"/>
          <w:color w:val="auto"/>
          <w:sz w:val="31"/>
          <w:szCs w:val="31"/>
          <w:lang w:val="en-US" w:eastAsia="zh-CN"/>
        </w:rPr>
        <w:t>5.</w:t>
      </w:r>
      <w:r>
        <w:rPr>
          <w:rFonts w:hint="eastAsia" w:ascii="仿宋_GB2312" w:hAnsi="仿宋_GB2312" w:eastAsia="仿宋_GB2312" w:cs="仿宋_GB2312"/>
          <w:color w:val="auto"/>
          <w:sz w:val="31"/>
          <w:szCs w:val="31"/>
        </w:rPr>
        <w:t>有保证工程质量和安全的具体措</w:t>
      </w:r>
      <w:r>
        <w:rPr>
          <w:rFonts w:hint="eastAsia" w:ascii="仿宋_GB2312" w:hAnsi="仿宋_GB2312" w:eastAsia="仿宋_GB2312" w:cs="仿宋_GB2312"/>
          <w:color w:val="auto"/>
          <w:sz w:val="31"/>
          <w:szCs w:val="31"/>
          <w:lang w:eastAsia="zh-CN"/>
        </w:rPr>
        <w:t>施。</w:t>
      </w:r>
    </w:p>
    <w:p>
      <w:pPr>
        <w:keepNext w:val="0"/>
        <w:keepLines w:val="0"/>
        <w:pageBreakBefore w:val="0"/>
        <w:widowControl w:val="0"/>
        <w:kinsoku/>
        <w:wordWrap/>
        <w:overflowPunct/>
        <w:topLinePunct w:val="0"/>
        <w:autoSpaceDE/>
        <w:autoSpaceDN/>
        <w:bidi w:val="0"/>
        <w:adjustRightInd/>
        <w:snapToGrid w:val="0"/>
        <w:spacing w:line="520" w:lineRule="exact"/>
        <w:ind w:firstLine="620" w:firstLineChars="200"/>
        <w:textAlignment w:val="auto"/>
        <w:rPr>
          <w:rFonts w:hint="eastAsia" w:ascii="仿宋_GB2312" w:hAnsi="仿宋_GB2312" w:eastAsia="仿宋_GB2312" w:cs="仿宋_GB2312"/>
          <w:color w:val="auto"/>
          <w:sz w:val="31"/>
          <w:szCs w:val="31"/>
          <w:lang w:val="en-US" w:eastAsia="zh-CN"/>
        </w:rPr>
      </w:pPr>
      <w:r>
        <w:rPr>
          <w:rFonts w:hint="eastAsia" w:ascii="仿宋_GB2312" w:hAnsi="仿宋_GB2312" w:eastAsia="仿宋_GB2312" w:cs="仿宋_GB2312"/>
          <w:color w:val="auto"/>
          <w:sz w:val="31"/>
          <w:szCs w:val="31"/>
          <w:lang w:val="en-US" w:eastAsia="zh-CN"/>
        </w:rPr>
        <w:t>6.</w:t>
      </w:r>
      <w:r>
        <w:rPr>
          <w:rFonts w:hint="eastAsia" w:ascii="仿宋_GB2312" w:hAnsi="仿宋_GB2312" w:eastAsia="仿宋_GB2312" w:cs="仿宋_GB2312"/>
          <w:color w:val="auto"/>
          <w:sz w:val="31"/>
          <w:szCs w:val="31"/>
        </w:rPr>
        <w:t>建设资金已经落实。</w:t>
      </w:r>
    </w:p>
    <w:p>
      <w:pPr>
        <w:keepNext w:val="0"/>
        <w:keepLines w:val="0"/>
        <w:pageBreakBefore w:val="0"/>
        <w:widowControl w:val="0"/>
        <w:kinsoku/>
        <w:wordWrap/>
        <w:overflowPunct/>
        <w:topLinePunct w:val="0"/>
        <w:autoSpaceDE/>
        <w:autoSpaceDN/>
        <w:bidi w:val="0"/>
        <w:adjustRightInd/>
        <w:snapToGrid w:val="0"/>
        <w:spacing w:line="520" w:lineRule="exact"/>
        <w:ind w:firstLine="620" w:firstLineChars="200"/>
        <w:textAlignment w:val="auto"/>
        <w:rPr>
          <w:rFonts w:hint="eastAsia" w:ascii="黑体" w:hAnsi="黑体" w:eastAsia="黑体" w:cs="黑体"/>
          <w:color w:val="auto"/>
          <w:sz w:val="31"/>
          <w:szCs w:val="31"/>
          <w:lang w:val="en-US" w:eastAsia="zh-CN"/>
        </w:rPr>
      </w:pPr>
      <w:r>
        <w:rPr>
          <w:rFonts w:hint="eastAsia" w:ascii="黑体" w:hAnsi="黑体" w:eastAsia="黑体" w:cs="黑体"/>
          <w:color w:val="auto"/>
          <w:sz w:val="31"/>
          <w:szCs w:val="31"/>
          <w:lang w:val="en-US" w:eastAsia="zh-CN"/>
        </w:rPr>
        <w:t>二、自然资源部门涉及的开工条件</w:t>
      </w:r>
    </w:p>
    <w:p>
      <w:pPr>
        <w:keepNext w:val="0"/>
        <w:keepLines w:val="0"/>
        <w:pageBreakBefore w:val="0"/>
        <w:widowControl w:val="0"/>
        <w:kinsoku/>
        <w:wordWrap/>
        <w:overflowPunct/>
        <w:topLinePunct w:val="0"/>
        <w:autoSpaceDE/>
        <w:autoSpaceDN/>
        <w:bidi w:val="0"/>
        <w:adjustRightInd/>
        <w:snapToGrid w:val="0"/>
        <w:spacing w:line="520" w:lineRule="exact"/>
        <w:ind w:firstLine="620" w:firstLineChars="200"/>
        <w:textAlignment w:val="auto"/>
        <w:rPr>
          <w:rFonts w:hint="eastAsia" w:ascii="仿宋_GB2312" w:hAnsi="仿宋_GB2312" w:eastAsia="仿宋_GB2312" w:cs="仿宋_GB2312"/>
          <w:color w:val="auto"/>
          <w:sz w:val="31"/>
          <w:szCs w:val="31"/>
        </w:rPr>
      </w:pPr>
      <w:r>
        <w:rPr>
          <w:rFonts w:hint="eastAsia" w:ascii="仿宋_GB2312" w:hAnsi="仿宋_GB2312" w:eastAsia="仿宋_GB2312" w:cs="仿宋_GB2312"/>
          <w:color w:val="auto"/>
          <w:sz w:val="31"/>
          <w:szCs w:val="31"/>
        </w:rPr>
        <w:t>1.签订出让合同，缴纳出让金和相关税费。</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620" w:firstLineChars="200"/>
        <w:jc w:val="both"/>
        <w:textAlignment w:val="auto"/>
        <w:rPr>
          <w:rFonts w:hint="eastAsia" w:ascii="仿宋_GB2312" w:hAnsi="仿宋_GB2312" w:eastAsia="仿宋_GB2312" w:cs="仿宋_GB2312"/>
          <w:color w:val="auto"/>
          <w:sz w:val="31"/>
          <w:szCs w:val="31"/>
          <w:lang w:val="en-US" w:eastAsia="zh-CN"/>
        </w:rPr>
      </w:pPr>
      <w:r>
        <w:rPr>
          <w:rFonts w:hint="eastAsia" w:ascii="仿宋_GB2312" w:hAnsi="仿宋_GB2312" w:eastAsia="仿宋_GB2312" w:cs="仿宋_GB2312"/>
          <w:color w:val="auto"/>
          <w:sz w:val="31"/>
          <w:szCs w:val="31"/>
          <w:lang w:val="en-US" w:eastAsia="zh-CN"/>
        </w:rPr>
        <w:t>2.已编制建筑设计方案，并通过预审。</w:t>
      </w:r>
    </w:p>
    <w:p>
      <w:pPr>
        <w:keepNext w:val="0"/>
        <w:keepLines w:val="0"/>
        <w:pageBreakBefore w:val="0"/>
        <w:widowControl w:val="0"/>
        <w:kinsoku/>
        <w:wordWrap/>
        <w:overflowPunct/>
        <w:topLinePunct w:val="0"/>
        <w:autoSpaceDE/>
        <w:autoSpaceDN/>
        <w:bidi w:val="0"/>
        <w:adjustRightInd/>
        <w:snapToGrid w:val="0"/>
        <w:spacing w:line="520" w:lineRule="exact"/>
        <w:ind w:firstLine="620" w:firstLineChars="200"/>
        <w:textAlignment w:val="auto"/>
        <w:rPr>
          <w:rFonts w:hint="eastAsia" w:ascii="仿宋_GB2312" w:hAnsi="仿宋_GB2312" w:eastAsia="仿宋_GB2312" w:cs="仿宋_GB2312"/>
          <w:color w:val="auto"/>
          <w:sz w:val="31"/>
          <w:szCs w:val="31"/>
          <w:lang w:val="en-US" w:eastAsia="zh-CN"/>
        </w:rPr>
      </w:pPr>
      <w:r>
        <w:rPr>
          <w:rFonts w:hint="eastAsia" w:ascii="黑体" w:hAnsi="黑体" w:eastAsia="黑体" w:cs="黑体"/>
          <w:color w:val="auto"/>
          <w:sz w:val="31"/>
          <w:szCs w:val="31"/>
          <w:lang w:val="en-US" w:eastAsia="zh-CN"/>
        </w:rPr>
        <w:t>三、人防部门涉及的开工条件</w:t>
      </w:r>
    </w:p>
    <w:p>
      <w:pPr>
        <w:keepNext w:val="0"/>
        <w:keepLines w:val="0"/>
        <w:pageBreakBefore w:val="0"/>
        <w:widowControl w:val="0"/>
        <w:kinsoku/>
        <w:wordWrap/>
        <w:overflowPunct/>
        <w:topLinePunct w:val="0"/>
        <w:autoSpaceDE/>
        <w:autoSpaceDN/>
        <w:bidi w:val="0"/>
        <w:adjustRightInd/>
        <w:snapToGrid w:val="0"/>
        <w:spacing w:line="520" w:lineRule="exact"/>
        <w:ind w:firstLine="620" w:firstLineChars="200"/>
        <w:textAlignment w:val="auto"/>
        <w:rPr>
          <w:rFonts w:hint="eastAsia" w:ascii="仿宋_GB2312" w:hAnsi="仿宋_GB2312" w:eastAsia="仿宋_GB2312" w:cs="仿宋_GB2312"/>
          <w:color w:val="auto"/>
          <w:sz w:val="31"/>
          <w:szCs w:val="31"/>
          <w:lang w:eastAsia="zh-CN"/>
        </w:rPr>
      </w:pPr>
      <w:r>
        <w:rPr>
          <w:rFonts w:hint="eastAsia" w:ascii="仿宋_GB2312" w:hAnsi="仿宋_GB2312" w:eastAsia="仿宋_GB2312" w:cs="仿宋_GB2312"/>
          <w:color w:val="auto"/>
          <w:sz w:val="31"/>
          <w:szCs w:val="31"/>
        </w:rPr>
        <w:t>已按规定缴纳防空地下室易地建设费</w:t>
      </w:r>
      <w:r>
        <w:rPr>
          <w:rFonts w:hint="eastAsia" w:ascii="仿宋_GB2312" w:hAnsi="仿宋_GB2312" w:eastAsia="仿宋_GB2312" w:cs="仿宋_GB2312"/>
          <w:color w:val="auto"/>
          <w:sz w:val="31"/>
          <w:szCs w:val="31"/>
          <w:lang w:eastAsia="zh-CN"/>
        </w:rPr>
        <w:t>或</w:t>
      </w:r>
      <w:r>
        <w:rPr>
          <w:rFonts w:hint="eastAsia" w:ascii="仿宋_GB2312" w:hAnsi="仿宋_GB2312" w:eastAsia="仿宋_GB2312" w:cs="仿宋_GB2312"/>
          <w:color w:val="auto"/>
          <w:sz w:val="31"/>
          <w:szCs w:val="31"/>
        </w:rPr>
        <w:t>已经办理易地修建防空地下室审核手续（生产性建筑除外）</w:t>
      </w:r>
      <w:r>
        <w:rPr>
          <w:rFonts w:hint="eastAsia" w:ascii="仿宋_GB2312" w:hAnsi="仿宋_GB2312" w:eastAsia="仿宋_GB2312" w:cs="仿宋_GB2312"/>
          <w:color w:val="auto"/>
          <w:sz w:val="31"/>
          <w:szCs w:val="31"/>
          <w:lang w:eastAsia="zh-CN"/>
        </w:rPr>
        <w:t>。</w:t>
      </w:r>
    </w:p>
    <w:p>
      <w:pPr>
        <w:keepNext w:val="0"/>
        <w:keepLines w:val="0"/>
        <w:pageBreakBefore w:val="0"/>
        <w:widowControl w:val="0"/>
        <w:kinsoku/>
        <w:wordWrap/>
        <w:overflowPunct/>
        <w:topLinePunct w:val="0"/>
        <w:autoSpaceDE/>
        <w:autoSpaceDN/>
        <w:bidi w:val="0"/>
        <w:adjustRightInd/>
        <w:snapToGrid w:val="0"/>
        <w:spacing w:line="520" w:lineRule="exact"/>
        <w:ind w:firstLine="620" w:firstLineChars="200"/>
        <w:textAlignment w:val="auto"/>
        <w:rPr>
          <w:rFonts w:hint="eastAsia" w:ascii="黑体" w:hAnsi="黑体" w:eastAsia="黑体" w:cs="黑体"/>
          <w:color w:val="auto"/>
          <w:sz w:val="31"/>
          <w:szCs w:val="31"/>
          <w:lang w:val="en-US" w:eastAsia="zh-CN"/>
        </w:rPr>
      </w:pPr>
      <w:r>
        <w:rPr>
          <w:rFonts w:hint="eastAsia" w:ascii="黑体" w:hAnsi="黑体" w:eastAsia="黑体" w:cs="黑体"/>
          <w:color w:val="auto"/>
          <w:sz w:val="31"/>
          <w:szCs w:val="31"/>
          <w:lang w:val="en-US" w:eastAsia="zh-CN"/>
        </w:rPr>
        <w:t>四、供电部门涉及的开工条件</w:t>
      </w:r>
    </w:p>
    <w:p>
      <w:pPr>
        <w:keepNext w:val="0"/>
        <w:keepLines w:val="0"/>
        <w:pageBreakBefore w:val="0"/>
        <w:widowControl w:val="0"/>
        <w:kinsoku/>
        <w:wordWrap/>
        <w:overflowPunct/>
        <w:topLinePunct w:val="0"/>
        <w:autoSpaceDE/>
        <w:autoSpaceDN/>
        <w:bidi w:val="0"/>
        <w:adjustRightInd/>
        <w:snapToGrid w:val="0"/>
        <w:spacing w:line="520" w:lineRule="exact"/>
        <w:ind w:firstLine="620" w:firstLineChars="200"/>
        <w:textAlignment w:val="auto"/>
        <w:rPr>
          <w:rFonts w:hint="eastAsia" w:ascii="仿宋_GB2312" w:hAnsi="仿宋_GB2312" w:eastAsia="仿宋_GB2312" w:cs="仿宋_GB2312"/>
          <w:color w:val="auto"/>
          <w:sz w:val="31"/>
          <w:szCs w:val="31"/>
          <w:lang w:val="en-US" w:eastAsia="zh-CN"/>
        </w:rPr>
      </w:pPr>
      <w:r>
        <w:rPr>
          <w:rFonts w:hint="eastAsia" w:ascii="仿宋_GB2312" w:hAnsi="仿宋_GB2312" w:eastAsia="仿宋_GB2312" w:cs="仿宋_GB2312"/>
          <w:color w:val="auto"/>
          <w:sz w:val="31"/>
          <w:szCs w:val="31"/>
          <w:lang w:val="en-US" w:eastAsia="zh-CN"/>
        </w:rPr>
        <w:t>地块红线及施工范围内已有的电力管线、电力设施等均已按规范完成迁改</w:t>
      </w:r>
      <w:r>
        <w:rPr>
          <w:rFonts w:hint="eastAsia" w:ascii="仿宋_GB2312" w:hAnsi="仿宋_GB2312" w:cs="仿宋_GB2312"/>
          <w:color w:val="auto"/>
          <w:sz w:val="31"/>
          <w:szCs w:val="31"/>
          <w:lang w:val="en-US" w:eastAsia="zh-CN"/>
        </w:rPr>
        <w:t>，</w:t>
      </w:r>
      <w:r>
        <w:rPr>
          <w:rFonts w:hint="eastAsia" w:ascii="仿宋_GB2312" w:hAnsi="仿宋_GB2312" w:eastAsia="仿宋_GB2312" w:cs="仿宋_GB2312"/>
          <w:color w:val="auto"/>
          <w:sz w:val="31"/>
          <w:szCs w:val="31"/>
          <w:lang w:val="en-US" w:eastAsia="zh-CN"/>
        </w:rPr>
        <w:t>且迁改后的电力管线路径、设施位置不妨碍施工、不影响设备运维抢修，与城市规划相统一。</w:t>
      </w:r>
    </w:p>
    <w:p>
      <w:pPr>
        <w:pStyle w:val="2"/>
        <w:keepNext w:val="0"/>
        <w:keepLines w:val="0"/>
        <w:pageBreakBefore w:val="0"/>
        <w:widowControl w:val="0"/>
        <w:kinsoku/>
        <w:wordWrap/>
        <w:overflowPunct/>
        <w:topLinePunct w:val="0"/>
        <w:autoSpaceDE/>
        <w:autoSpaceDN/>
        <w:bidi w:val="0"/>
        <w:snapToGrid w:val="0"/>
        <w:spacing w:line="520" w:lineRule="exact"/>
        <w:ind w:left="0" w:leftChars="0" w:firstLine="0" w:firstLineChars="0"/>
        <w:textAlignment w:val="auto"/>
        <w:rPr>
          <w:rFonts w:hint="eastAsia"/>
        </w:rPr>
      </w:pPr>
    </w:p>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outlineLvl w:val="9"/>
        <w:rPr>
          <w:rFonts w:hint="eastAsia" w:ascii="黑体" w:hAnsi="黑体" w:eastAsia="黑体" w:cs="黑体"/>
          <w:color w:val="auto"/>
          <w:kern w:val="0"/>
          <w:sz w:val="31"/>
          <w:szCs w:val="31"/>
          <w:lang w:val="en-US" w:eastAsia="zh-CN" w:bidi="ar"/>
        </w:rPr>
      </w:pPr>
      <w:r>
        <w:rPr>
          <w:rFonts w:hint="eastAsia" w:ascii="黑体" w:hAnsi="黑体" w:eastAsia="黑体" w:cs="黑体"/>
          <w:color w:val="auto"/>
          <w:kern w:val="0"/>
          <w:sz w:val="31"/>
          <w:szCs w:val="31"/>
          <w:lang w:val="en-US" w:eastAsia="zh-CN" w:bidi="ar"/>
        </w:rPr>
        <w:t>附件4</w:t>
      </w:r>
    </w:p>
    <w:p>
      <w:pPr>
        <w:pStyle w:val="2"/>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社会投资低风险项目适用政策目录清单</w:t>
      </w:r>
    </w:p>
    <w:p>
      <w:pPr>
        <w:keepNext w:val="0"/>
        <w:keepLines w:val="0"/>
        <w:pageBreakBefore w:val="0"/>
        <w:widowControl w:val="0"/>
        <w:numPr>
          <w:ilvl w:val="0"/>
          <w:numId w:val="0"/>
        </w:numPr>
        <w:kinsoku/>
        <w:wordWrap/>
        <w:overflowPunct/>
        <w:topLinePunct w:val="0"/>
        <w:autoSpaceDE/>
        <w:autoSpaceDN/>
        <w:bidi w:val="0"/>
        <w:snapToGrid w:val="0"/>
        <w:spacing w:line="560" w:lineRule="exact"/>
        <w:ind w:firstLine="620" w:firstLineChars="200"/>
        <w:textAlignment w:val="auto"/>
        <w:rPr>
          <w:rFonts w:hint="eastAsia" w:ascii="仿宋_GB2312" w:hAnsi="仿宋_GB2312" w:eastAsia="仿宋_GB2312" w:cs="仿宋_GB2312"/>
          <w:color w:val="auto"/>
          <w:sz w:val="31"/>
          <w:szCs w:val="31"/>
          <w:lang w:val="en-US" w:eastAsia="zh-CN"/>
        </w:rPr>
      </w:pPr>
      <w:r>
        <w:rPr>
          <w:rFonts w:hint="eastAsia" w:ascii="黑体" w:hAnsi="黑体" w:eastAsia="黑体" w:cs="黑体"/>
          <w:color w:val="auto"/>
          <w:sz w:val="31"/>
          <w:szCs w:val="31"/>
          <w:lang w:val="en-US" w:eastAsia="zh-CN"/>
        </w:rPr>
        <w:t>一、</w:t>
      </w:r>
      <w:r>
        <w:rPr>
          <w:rFonts w:hint="eastAsia" w:ascii="仿宋_GB2312" w:hAnsi="仿宋_GB2312" w:eastAsia="仿宋_GB2312" w:cs="仿宋_GB2312"/>
          <w:color w:val="auto"/>
          <w:sz w:val="31"/>
          <w:szCs w:val="31"/>
          <w:lang w:val="en-US" w:eastAsia="zh-CN"/>
        </w:rPr>
        <w:t>《福建省工程建设项目审批制度改革领导小组办公室关于印发&lt;关于优化社会投资简易低风险工程建设项目审批服务的指导意见&gt;的通知》（闽建审改〔2020〕7号）</w:t>
      </w:r>
      <w:r>
        <w:rPr>
          <w:rFonts w:hint="eastAsia" w:ascii="仿宋_GB2312" w:hAnsi="仿宋_GB2312" w:cs="仿宋_GB2312"/>
          <w:color w:val="auto"/>
          <w:sz w:val="31"/>
          <w:szCs w:val="31"/>
          <w:lang w:val="en-US" w:eastAsia="zh-CN"/>
        </w:rPr>
        <w:t>；</w:t>
      </w:r>
    </w:p>
    <w:p>
      <w:pPr>
        <w:pStyle w:val="2"/>
        <w:keepNext w:val="0"/>
        <w:keepLines w:val="0"/>
        <w:pageBreakBefore w:val="0"/>
        <w:widowControl w:val="0"/>
        <w:numPr>
          <w:ilvl w:val="0"/>
          <w:numId w:val="0"/>
        </w:numPr>
        <w:kinsoku/>
        <w:wordWrap/>
        <w:overflowPunct/>
        <w:topLinePunct w:val="0"/>
        <w:autoSpaceDE/>
        <w:autoSpaceDN/>
        <w:bidi w:val="0"/>
        <w:snapToGrid w:val="0"/>
        <w:spacing w:line="560" w:lineRule="exact"/>
        <w:ind w:leftChars="0" w:firstLine="620" w:firstLineChars="200"/>
        <w:textAlignment w:val="auto"/>
        <w:rPr>
          <w:rFonts w:hint="eastAsia" w:ascii="仿宋_GB2312" w:hAnsi="仿宋_GB2312" w:cs="仿宋_GB2312"/>
          <w:color w:val="auto"/>
          <w:sz w:val="31"/>
          <w:szCs w:val="31"/>
          <w:lang w:val="en-US" w:eastAsia="zh-CN"/>
        </w:rPr>
      </w:pPr>
      <w:r>
        <w:rPr>
          <w:rFonts w:hint="eastAsia" w:ascii="黑体" w:hAnsi="黑体" w:eastAsia="黑体" w:cs="黑体"/>
          <w:color w:val="auto"/>
          <w:sz w:val="31"/>
          <w:szCs w:val="31"/>
          <w:lang w:val="en-US" w:eastAsia="zh-CN"/>
        </w:rPr>
        <w:t>二、</w:t>
      </w:r>
      <w:r>
        <w:rPr>
          <w:rFonts w:hint="eastAsia" w:ascii="仿宋_GB2312" w:hAnsi="仿宋_GB2312" w:cs="仿宋_GB2312"/>
          <w:color w:val="auto"/>
          <w:sz w:val="31"/>
          <w:szCs w:val="31"/>
          <w:lang w:val="en-US" w:eastAsia="zh-CN"/>
        </w:rPr>
        <w:t>《</w:t>
      </w:r>
      <w:r>
        <w:rPr>
          <w:rFonts w:hint="eastAsia" w:ascii="仿宋_GB2312" w:hAnsi="仿宋_GB2312" w:eastAsia="仿宋_GB2312" w:cs="仿宋_GB2312"/>
          <w:color w:val="auto"/>
          <w:sz w:val="31"/>
          <w:szCs w:val="31"/>
          <w:lang w:val="en-US" w:eastAsia="zh-CN"/>
        </w:rPr>
        <w:t>三明市人民政府办公室关于印发三明市提升办理建筑许可工作方案的通知》（明政办〔2020〕34号）</w:t>
      </w:r>
      <w:r>
        <w:rPr>
          <w:rFonts w:hint="eastAsia" w:ascii="仿宋_GB2312" w:hAnsi="仿宋_GB2312" w:cs="仿宋_GB2312"/>
          <w:color w:val="auto"/>
          <w:sz w:val="31"/>
          <w:szCs w:val="31"/>
          <w:lang w:val="en-US" w:eastAsia="zh-CN"/>
        </w:rPr>
        <w:t>；</w:t>
      </w:r>
    </w:p>
    <w:p>
      <w:pPr>
        <w:pStyle w:val="2"/>
        <w:keepNext w:val="0"/>
        <w:keepLines w:val="0"/>
        <w:pageBreakBefore w:val="0"/>
        <w:widowControl w:val="0"/>
        <w:numPr>
          <w:ilvl w:val="0"/>
          <w:numId w:val="0"/>
        </w:numPr>
        <w:kinsoku/>
        <w:wordWrap/>
        <w:overflowPunct/>
        <w:topLinePunct w:val="0"/>
        <w:autoSpaceDE/>
        <w:autoSpaceDN/>
        <w:bidi w:val="0"/>
        <w:snapToGrid w:val="0"/>
        <w:spacing w:line="560" w:lineRule="exact"/>
        <w:ind w:leftChars="0" w:firstLine="620" w:firstLineChars="200"/>
        <w:textAlignment w:val="auto"/>
        <w:rPr>
          <w:rFonts w:hint="eastAsia" w:ascii="仿宋_GB2312" w:hAnsi="仿宋_GB2312" w:eastAsia="仿宋_GB2312" w:cs="仿宋_GB2312"/>
          <w:color w:val="auto"/>
          <w:sz w:val="31"/>
          <w:szCs w:val="31"/>
          <w:lang w:val="en-US" w:eastAsia="zh-CN"/>
        </w:rPr>
      </w:pPr>
      <w:r>
        <w:rPr>
          <w:rFonts w:hint="eastAsia" w:ascii="黑体" w:hAnsi="黑体" w:eastAsia="黑体" w:cs="黑体"/>
          <w:color w:val="auto"/>
          <w:kern w:val="2"/>
          <w:sz w:val="31"/>
          <w:szCs w:val="31"/>
          <w:lang w:val="en-US" w:eastAsia="zh-CN" w:bidi="ar-SA"/>
        </w:rPr>
        <w:t>三、</w:t>
      </w:r>
      <w:r>
        <w:rPr>
          <w:rFonts w:hint="eastAsia" w:ascii="仿宋_GB2312" w:hAnsi="仿宋_GB2312" w:eastAsia="仿宋_GB2312" w:cs="仿宋_GB2312"/>
          <w:color w:val="auto"/>
          <w:lang w:val="en-US" w:eastAsia="zh-CN"/>
        </w:rPr>
        <w:t>《关于进一步优化三明市工程监理工作的有关事项通知（明建办》〔2020〕17号）</w:t>
      </w:r>
      <w:r>
        <w:rPr>
          <w:rFonts w:hint="eastAsia" w:ascii="仿宋_GB2312" w:hAnsi="仿宋_GB2312" w:cs="仿宋_GB2312"/>
          <w:color w:val="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310" w:rightChars="100" w:firstLine="620" w:firstLineChars="200"/>
        <w:jc w:val="both"/>
        <w:textAlignment w:val="auto"/>
        <w:rPr>
          <w:rFonts w:hint="eastAsia" w:ascii="仿宋_GB2312" w:hAnsi="仿宋_GB2312" w:cs="仿宋_GB2312"/>
          <w:color w:val="auto"/>
          <w:lang w:val="en-US" w:eastAsia="zh-CN"/>
        </w:rPr>
      </w:pPr>
      <w:r>
        <w:rPr>
          <w:rFonts w:hint="eastAsia" w:ascii="黑体" w:hAnsi="黑体" w:eastAsia="黑体" w:cs="黑体"/>
          <w:color w:val="auto"/>
          <w:kern w:val="2"/>
          <w:sz w:val="31"/>
          <w:szCs w:val="31"/>
          <w:lang w:val="en-US" w:eastAsia="zh-CN" w:bidi="ar-SA"/>
        </w:rPr>
        <w:t>四、</w:t>
      </w:r>
      <w:r>
        <w:rPr>
          <w:rFonts w:hint="eastAsia" w:ascii="仿宋_GB2312" w:hAnsi="仿宋_GB2312" w:eastAsia="仿宋_GB2312" w:cs="仿宋_GB2312"/>
          <w:color w:val="auto"/>
          <w:lang w:val="en-US" w:eastAsia="zh-CN"/>
        </w:rPr>
        <w:t>《三明市住房和城乡建设局等四部门关于建立小型低风险工程项目综合竣工验收制度的通知》（</w:t>
      </w:r>
      <w:r>
        <w:rPr>
          <w:rFonts w:hint="eastAsia" w:ascii="仿宋_GB2312" w:hAnsi="仿宋_GB2312" w:eastAsia="仿宋_GB2312" w:cs="仿宋_GB2312"/>
          <w:color w:val="auto"/>
        </w:rPr>
        <w:t>明</w:t>
      </w:r>
      <w:r>
        <w:rPr>
          <w:rFonts w:hint="eastAsia" w:ascii="仿宋_GB2312" w:hAnsi="仿宋_GB2312" w:eastAsia="仿宋_GB2312" w:cs="仿宋_GB2312"/>
          <w:color w:val="auto"/>
          <w:lang w:eastAsia="zh-CN"/>
        </w:rPr>
        <w:t>建</w:t>
      </w:r>
      <w:r>
        <w:rPr>
          <w:rFonts w:hint="eastAsia" w:ascii="仿宋_GB2312" w:hAnsi="仿宋_GB2312" w:eastAsia="仿宋_GB2312" w:cs="仿宋_GB2312"/>
          <w:color w:val="auto"/>
        </w:rPr>
        <w:t>〔20</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18</w:t>
      </w:r>
      <w:r>
        <w:rPr>
          <w:rFonts w:hint="eastAsia" w:ascii="仿宋_GB2312" w:hAnsi="仿宋_GB2312" w:eastAsia="仿宋_GB2312" w:cs="仿宋_GB2312"/>
          <w:color w:val="auto"/>
        </w:rPr>
        <w:t>号</w:t>
      </w:r>
      <w:r>
        <w:rPr>
          <w:rFonts w:hint="eastAsia" w:ascii="仿宋_GB2312" w:hAnsi="仿宋_GB2312" w:eastAsia="仿宋_GB2312" w:cs="仿宋_GB2312"/>
          <w:color w:val="auto"/>
          <w:lang w:val="en-US" w:eastAsia="zh-CN"/>
        </w:rPr>
        <w:t>）</w:t>
      </w:r>
      <w:r>
        <w:rPr>
          <w:rFonts w:hint="eastAsia" w:ascii="仿宋_GB2312" w:hAnsi="仿宋_GB2312" w:cs="仿宋_GB2312"/>
          <w:color w:val="auto"/>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right="310" w:rightChars="100" w:firstLine="620" w:firstLineChars="200"/>
        <w:jc w:val="both"/>
        <w:textAlignment w:val="auto"/>
        <w:rPr>
          <w:rFonts w:hint="eastAsia" w:ascii="仿宋_GB2312" w:hAnsi="仿宋_GB2312" w:eastAsia="仿宋_GB2312" w:cs="仿宋_GB2312"/>
          <w:color w:val="auto"/>
          <w:lang w:val="en-US" w:eastAsia="zh-CN"/>
        </w:rPr>
      </w:pPr>
      <w:r>
        <w:rPr>
          <w:rFonts w:hint="eastAsia" w:ascii="黑体" w:hAnsi="黑体" w:eastAsia="黑体" w:cs="黑体"/>
          <w:color w:val="auto"/>
          <w:kern w:val="2"/>
          <w:sz w:val="31"/>
          <w:szCs w:val="31"/>
          <w:lang w:val="en-US" w:eastAsia="zh-CN" w:bidi="ar-SA"/>
        </w:rPr>
        <w:t>五、</w:t>
      </w:r>
      <w:r>
        <w:rPr>
          <w:rFonts w:hint="eastAsia" w:ascii="仿宋_GB2312" w:hAnsi="仿宋_GB2312" w:eastAsia="仿宋_GB2312" w:cs="仿宋_GB2312"/>
          <w:color w:val="auto"/>
          <w:lang w:val="en-US" w:eastAsia="zh-CN"/>
        </w:rPr>
        <w:t>《三明市住房和城乡建设局关于部分工程项目施工许可审批实行告知承诺制的通知》（</w:t>
      </w:r>
      <w:r>
        <w:rPr>
          <w:rFonts w:hint="eastAsia" w:ascii="仿宋_GB2312" w:hAnsi="仿宋_GB2312" w:eastAsia="仿宋_GB2312" w:cs="仿宋_GB2312"/>
          <w:color w:val="auto"/>
        </w:rPr>
        <w:t>明</w:t>
      </w:r>
      <w:r>
        <w:rPr>
          <w:rFonts w:hint="eastAsia" w:ascii="仿宋_GB2312" w:hAnsi="仿宋_GB2312" w:eastAsia="仿宋_GB2312" w:cs="仿宋_GB2312"/>
          <w:color w:val="auto"/>
          <w:lang w:eastAsia="zh-CN"/>
        </w:rPr>
        <w:t>建</w:t>
      </w:r>
      <w:r>
        <w:rPr>
          <w:rFonts w:hint="eastAsia" w:ascii="仿宋_GB2312" w:hAnsi="仿宋_GB2312" w:eastAsia="仿宋_GB2312" w:cs="仿宋_GB2312"/>
          <w:color w:val="auto"/>
        </w:rPr>
        <w:t>〔20</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w:t>
      </w:r>
      <w:r>
        <w:rPr>
          <w:rFonts w:hint="eastAsia" w:ascii="仿宋_GB2312" w:hAnsi="仿宋_GB2312" w:eastAsia="仿宋_GB2312" w:cs="仿宋_GB2312"/>
          <w:color w:val="auto"/>
          <w:lang w:val="en-US" w:eastAsia="zh-CN"/>
        </w:rPr>
        <w:t>19</w:t>
      </w:r>
      <w:r>
        <w:rPr>
          <w:rFonts w:hint="eastAsia" w:ascii="仿宋_GB2312" w:hAnsi="仿宋_GB2312" w:eastAsia="仿宋_GB2312" w:cs="仿宋_GB2312"/>
          <w:color w:val="auto"/>
        </w:rPr>
        <w:t>号</w:t>
      </w:r>
      <w:r>
        <w:rPr>
          <w:rFonts w:hint="eastAsia" w:ascii="仿宋_GB2312" w:hAnsi="仿宋_GB2312" w:eastAsia="仿宋_GB2312" w:cs="仿宋_GB2312"/>
          <w:color w:val="auto"/>
          <w:lang w:val="en-US" w:eastAsia="zh-CN"/>
        </w:rPr>
        <w:t>）</w:t>
      </w:r>
      <w:r>
        <w:rPr>
          <w:rFonts w:hint="eastAsia" w:ascii="仿宋_GB2312" w:hAnsi="仿宋_GB2312" w:cs="仿宋_GB2312"/>
          <w:color w:val="auto"/>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right="310" w:rightChars="100" w:firstLine="620" w:firstLineChars="200"/>
        <w:jc w:val="both"/>
        <w:textAlignment w:val="auto"/>
        <w:rPr>
          <w:rFonts w:hint="eastAsia" w:ascii="仿宋_GB2312" w:hAnsi="仿宋_GB2312" w:eastAsia="仿宋_GB2312" w:cs="仿宋_GB2312"/>
          <w:color w:val="auto"/>
          <w:lang w:val="en-US" w:eastAsia="zh-CN"/>
        </w:rPr>
      </w:pPr>
      <w:r>
        <w:rPr>
          <w:rFonts w:hint="eastAsia" w:ascii="黑体" w:hAnsi="黑体" w:eastAsia="黑体" w:cs="黑体"/>
          <w:color w:val="auto"/>
          <w:sz w:val="31"/>
          <w:szCs w:val="31"/>
          <w:lang w:val="en-US" w:eastAsia="zh-CN"/>
        </w:rPr>
        <w:t>六、</w:t>
      </w:r>
      <w:r>
        <w:rPr>
          <w:rFonts w:hint="eastAsia" w:ascii="仿宋_GB2312" w:hAnsi="仿宋_GB2312" w:eastAsia="仿宋_GB2312" w:cs="仿宋_GB2312"/>
          <w:color w:val="auto"/>
          <w:lang w:val="en-US" w:eastAsia="zh-CN"/>
        </w:rPr>
        <w:t>《三明市住房和城乡建设局关于优化营商环境提升建筑工程质量安全管理工作的通知》（明建〔2020〕28号）</w:t>
      </w:r>
      <w:r>
        <w:rPr>
          <w:rFonts w:hint="eastAsia" w:ascii="仿宋_GB2312" w:hAnsi="仿宋_GB2312" w:cs="仿宋_GB2312"/>
          <w:color w:val="auto"/>
          <w:lang w:val="en-US" w:eastAsia="zh-CN"/>
        </w:rPr>
        <w:t>；</w:t>
      </w:r>
    </w:p>
    <w:p>
      <w:pPr>
        <w:keepNext w:val="0"/>
        <w:keepLines w:val="0"/>
        <w:pageBreakBefore w:val="0"/>
        <w:widowControl w:val="0"/>
        <w:kinsoku/>
        <w:wordWrap/>
        <w:overflowPunct/>
        <w:topLinePunct w:val="0"/>
        <w:autoSpaceDE/>
        <w:autoSpaceDN/>
        <w:bidi w:val="0"/>
        <w:snapToGrid w:val="0"/>
        <w:spacing w:line="560" w:lineRule="exact"/>
        <w:ind w:firstLine="620" w:firstLineChars="200"/>
        <w:jc w:val="both"/>
        <w:textAlignment w:val="auto"/>
        <w:rPr>
          <w:rFonts w:hint="eastAsia" w:ascii="仿宋_GB2312" w:hAnsi="仿宋_GB2312" w:eastAsia="仿宋_GB2312" w:cs="仿宋_GB2312"/>
          <w:color w:val="auto"/>
          <w:lang w:val="en-US" w:eastAsia="zh-CN"/>
        </w:rPr>
      </w:pPr>
      <w:r>
        <w:rPr>
          <w:rFonts w:hint="eastAsia" w:ascii="黑体" w:hAnsi="黑体" w:eastAsia="黑体" w:cs="黑体"/>
          <w:color w:val="auto"/>
          <w:kern w:val="2"/>
          <w:sz w:val="31"/>
          <w:szCs w:val="31"/>
          <w:lang w:val="en-US" w:eastAsia="zh-CN" w:bidi="ar-SA"/>
        </w:rPr>
        <w:t>七、</w:t>
      </w:r>
      <w:r>
        <w:rPr>
          <w:rFonts w:hint="eastAsia" w:ascii="仿宋_GB2312" w:hAnsi="仿宋_GB2312" w:eastAsia="仿宋_GB2312" w:cs="仿宋_GB2312"/>
          <w:color w:val="auto"/>
          <w:lang w:val="en-US" w:eastAsia="zh-CN"/>
        </w:rPr>
        <w:t>《三明市自然资源局关于印发&lt;三明市建设工程规划许可告知承诺制暂行管理办法&gt;的通知》（明自然资发〔2020〕10号）；</w:t>
      </w:r>
    </w:p>
    <w:p>
      <w:pPr>
        <w:keepNext w:val="0"/>
        <w:keepLines w:val="0"/>
        <w:pageBreakBefore w:val="0"/>
        <w:widowControl w:val="0"/>
        <w:kinsoku/>
        <w:wordWrap/>
        <w:overflowPunct/>
        <w:topLinePunct w:val="0"/>
        <w:autoSpaceDE/>
        <w:autoSpaceDN/>
        <w:bidi w:val="0"/>
        <w:adjustRightInd w:val="0"/>
        <w:snapToGrid w:val="0"/>
        <w:spacing w:line="560" w:lineRule="exact"/>
        <w:ind w:right="310" w:rightChars="100" w:firstLine="620" w:firstLineChars="200"/>
        <w:jc w:val="left"/>
        <w:textAlignment w:val="auto"/>
        <w:rPr>
          <w:rFonts w:hint="eastAsia" w:ascii="仿宋_GB2312" w:hAnsi="仿宋_GB2312" w:eastAsia="仿宋_GB2312" w:cs="仿宋_GB2312"/>
          <w:color w:val="auto"/>
          <w:lang w:val="en-US" w:eastAsia="zh-CN"/>
        </w:rPr>
      </w:pPr>
      <w:r>
        <w:rPr>
          <w:rFonts w:hint="eastAsia" w:ascii="黑体" w:hAnsi="黑体" w:eastAsia="黑体" w:cs="黑体"/>
          <w:color w:val="auto"/>
          <w:kern w:val="2"/>
          <w:sz w:val="31"/>
          <w:szCs w:val="31"/>
          <w:lang w:val="en-US" w:eastAsia="zh-CN" w:bidi="ar-SA"/>
        </w:rPr>
        <w:t>八、</w:t>
      </w:r>
      <w:r>
        <w:rPr>
          <w:rFonts w:hint="eastAsia" w:ascii="仿宋_GB2312" w:hAnsi="仿宋_GB2312" w:eastAsia="仿宋_GB2312" w:cs="仿宋_GB2312"/>
          <w:color w:val="auto"/>
          <w:lang w:val="en-US" w:eastAsia="zh-CN"/>
        </w:rPr>
        <w:t>《三明市人民防空办公室 三明市自然资源局 三明市住房和城乡建设局关于进一步简化工业项目人防审批流程的通知》（明人防办〔2021〕9号）。</w:t>
      </w:r>
    </w:p>
    <w:p>
      <w:pPr>
        <w:pStyle w:val="2"/>
        <w:ind w:left="0" w:leftChars="0" w:firstLine="0" w:firstLineChars="0"/>
        <w:rPr>
          <w:rFonts w:hint="eastAsia"/>
          <w:color w:val="auto"/>
          <w:lang w:val="en-US" w:eastAsia="zh-CN"/>
        </w:rPr>
      </w:pPr>
      <w:bookmarkStart w:id="0" w:name="_GoBack"/>
      <w:bookmarkEnd w:id="0"/>
    </w:p>
    <w:sectPr>
      <w:footerReference r:id="rId3" w:type="default"/>
      <w:pgSz w:w="11906" w:h="16838"/>
      <w:pgMar w:top="2098" w:right="1531" w:bottom="1984" w:left="1531" w:header="851" w:footer="992" w:gutter="0"/>
      <w:pgNumType w:fmt="decimal"/>
      <w:cols w:space="0" w:num="1"/>
      <w:rtlGutter w:val="0"/>
      <w:docGrid w:type="lines" w:linePitch="4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adjustRightInd w:val="0"/>
                            <w:snapToGrid/>
                            <w:ind w:left="310" w:leftChars="100" w:right="310" w:rightChars="100"/>
                            <w:rPr>
                              <w:rStyle w:val="9"/>
                              <w:rFonts w:hint="eastAsia" w:eastAsia="宋体"/>
                              <w:sz w:val="28"/>
                              <w:szCs w:val="28"/>
                            </w:rPr>
                          </w:pPr>
                          <w:r>
                            <w:rPr>
                              <w:rStyle w:val="9"/>
                              <w:rFonts w:hint="eastAsia" w:eastAsia="宋体"/>
                              <w:sz w:val="28"/>
                              <w:szCs w:val="28"/>
                            </w:rPr>
                            <w:t xml:space="preserve">— </w:t>
                          </w:r>
                          <w:r>
                            <w:rPr>
                              <w:rFonts w:eastAsia="宋体"/>
                              <w:sz w:val="28"/>
                              <w:szCs w:val="28"/>
                            </w:rPr>
                            <w:fldChar w:fldCharType="begin"/>
                          </w:r>
                          <w:r>
                            <w:rPr>
                              <w:rStyle w:val="9"/>
                              <w:rFonts w:eastAsia="宋体"/>
                              <w:sz w:val="28"/>
                              <w:szCs w:val="28"/>
                            </w:rPr>
                            <w:instrText xml:space="preserve">PAGE  </w:instrText>
                          </w:r>
                          <w:r>
                            <w:rPr>
                              <w:rFonts w:eastAsia="宋体"/>
                              <w:sz w:val="28"/>
                              <w:szCs w:val="28"/>
                            </w:rPr>
                            <w:fldChar w:fldCharType="separate"/>
                          </w:r>
                          <w:r>
                            <w:rPr>
                              <w:rStyle w:val="9"/>
                              <w:rFonts w:eastAsia="宋体"/>
                              <w:sz w:val="28"/>
                              <w:szCs w:val="28"/>
                            </w:rPr>
                            <w:t>1</w:t>
                          </w:r>
                          <w:r>
                            <w:rPr>
                              <w:rFonts w:eastAsia="宋体"/>
                              <w:sz w:val="28"/>
                              <w:szCs w:val="28"/>
                            </w:rPr>
                            <w:fldChar w:fldCharType="end"/>
                          </w:r>
                          <w:r>
                            <w:rPr>
                              <w:rStyle w:val="9"/>
                              <w:rFonts w:hint="eastAsia" w:eastAsia="宋体"/>
                              <w:sz w:val="28"/>
                              <w:szCs w:val="28"/>
                            </w:rPr>
                            <w:t xml:space="preserve"> —</w:t>
                          </w:r>
                        </w:p>
                        <w:p>
                          <w:pPr>
                            <w:pStyle w:val="4"/>
                            <w:rPr>
                              <w:rFonts w:hint="eastAsia" w:eastAsia="仿宋_GB2312"/>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adjustRightInd w:val="0"/>
                      <w:snapToGrid/>
                      <w:ind w:left="310" w:leftChars="100" w:right="310" w:rightChars="100"/>
                      <w:rPr>
                        <w:rStyle w:val="9"/>
                        <w:rFonts w:hint="eastAsia" w:eastAsia="宋体"/>
                        <w:sz w:val="28"/>
                        <w:szCs w:val="28"/>
                      </w:rPr>
                    </w:pPr>
                    <w:r>
                      <w:rPr>
                        <w:rStyle w:val="9"/>
                        <w:rFonts w:hint="eastAsia" w:eastAsia="宋体"/>
                        <w:sz w:val="28"/>
                        <w:szCs w:val="28"/>
                      </w:rPr>
                      <w:t xml:space="preserve">— </w:t>
                    </w:r>
                    <w:r>
                      <w:rPr>
                        <w:rFonts w:eastAsia="宋体"/>
                        <w:sz w:val="28"/>
                        <w:szCs w:val="28"/>
                      </w:rPr>
                      <w:fldChar w:fldCharType="begin"/>
                    </w:r>
                    <w:r>
                      <w:rPr>
                        <w:rStyle w:val="9"/>
                        <w:rFonts w:eastAsia="宋体"/>
                        <w:sz w:val="28"/>
                        <w:szCs w:val="28"/>
                      </w:rPr>
                      <w:instrText xml:space="preserve">PAGE  </w:instrText>
                    </w:r>
                    <w:r>
                      <w:rPr>
                        <w:rFonts w:eastAsia="宋体"/>
                        <w:sz w:val="28"/>
                        <w:szCs w:val="28"/>
                      </w:rPr>
                      <w:fldChar w:fldCharType="separate"/>
                    </w:r>
                    <w:r>
                      <w:rPr>
                        <w:rStyle w:val="9"/>
                        <w:rFonts w:eastAsia="宋体"/>
                        <w:sz w:val="28"/>
                        <w:szCs w:val="28"/>
                      </w:rPr>
                      <w:t>1</w:t>
                    </w:r>
                    <w:r>
                      <w:rPr>
                        <w:rFonts w:eastAsia="宋体"/>
                        <w:sz w:val="28"/>
                        <w:szCs w:val="28"/>
                      </w:rPr>
                      <w:fldChar w:fldCharType="end"/>
                    </w:r>
                    <w:r>
                      <w:rPr>
                        <w:rStyle w:val="9"/>
                        <w:rFonts w:hint="eastAsia" w:eastAsia="宋体"/>
                        <w:sz w:val="28"/>
                        <w:szCs w:val="28"/>
                      </w:rPr>
                      <w:t xml:space="preserve"> —</w:t>
                    </w:r>
                  </w:p>
                  <w:p>
                    <w:pPr>
                      <w:pStyle w:val="4"/>
                      <w:rPr>
                        <w:rFonts w:hint="eastAsia" w:eastAsia="仿宋_GB2312"/>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213"/>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E3A31"/>
    <w:rsid w:val="01F554CF"/>
    <w:rsid w:val="079D1118"/>
    <w:rsid w:val="0F721084"/>
    <w:rsid w:val="12095958"/>
    <w:rsid w:val="1A985FD3"/>
    <w:rsid w:val="1C73722F"/>
    <w:rsid w:val="1E925CA1"/>
    <w:rsid w:val="261B39F7"/>
    <w:rsid w:val="26C87DF2"/>
    <w:rsid w:val="27494362"/>
    <w:rsid w:val="281E2A58"/>
    <w:rsid w:val="286F2EAD"/>
    <w:rsid w:val="292B5809"/>
    <w:rsid w:val="2E1913C3"/>
    <w:rsid w:val="334C69AC"/>
    <w:rsid w:val="34D17C3B"/>
    <w:rsid w:val="351F6BFD"/>
    <w:rsid w:val="35EA5080"/>
    <w:rsid w:val="362E3A31"/>
    <w:rsid w:val="37894F19"/>
    <w:rsid w:val="38BB3EFD"/>
    <w:rsid w:val="40307FC5"/>
    <w:rsid w:val="408312FF"/>
    <w:rsid w:val="4229405F"/>
    <w:rsid w:val="435F313D"/>
    <w:rsid w:val="44221FC6"/>
    <w:rsid w:val="487A7E0A"/>
    <w:rsid w:val="497648A1"/>
    <w:rsid w:val="4AE4787E"/>
    <w:rsid w:val="4B3D7074"/>
    <w:rsid w:val="4BD05345"/>
    <w:rsid w:val="4DD15D38"/>
    <w:rsid w:val="513A2DD4"/>
    <w:rsid w:val="519A65D6"/>
    <w:rsid w:val="525D1A53"/>
    <w:rsid w:val="54692FDF"/>
    <w:rsid w:val="54C25859"/>
    <w:rsid w:val="54F96EFB"/>
    <w:rsid w:val="5A8A613A"/>
    <w:rsid w:val="5C4528AB"/>
    <w:rsid w:val="60B430D8"/>
    <w:rsid w:val="63A91964"/>
    <w:rsid w:val="63B31B5D"/>
    <w:rsid w:val="67460896"/>
    <w:rsid w:val="6B8C4A3B"/>
    <w:rsid w:val="6BAD192F"/>
    <w:rsid w:val="71826400"/>
    <w:rsid w:val="79DD495D"/>
    <w:rsid w:val="7A5D7E41"/>
    <w:rsid w:val="7C221561"/>
    <w:rsid w:val="7E3E1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宋体"/>
      <w:kern w:val="2"/>
      <w:sz w:val="31"/>
      <w:szCs w:val="31"/>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link w:val="8"/>
    <w:semiHidden/>
    <w:qFormat/>
    <w:uiPriority w:val="0"/>
    <w:rPr>
      <w:rFonts w:ascii="Tahoma" w:hAnsi="Tahoma" w:cs="宋体"/>
      <w:sz w:val="24"/>
      <w:szCs w:val="32"/>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rPr>
      <w:rFonts w:ascii="Calibri" w:hAnsi="Calibri"/>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paragraph" w:customStyle="1" w:styleId="8">
    <w:name w:val="Char Char Char Char Char Char Char Char Char Char"/>
    <w:basedOn w:val="1"/>
    <w:link w:val="7"/>
    <w:qFormat/>
    <w:uiPriority w:val="0"/>
    <w:rPr>
      <w:rFonts w:ascii="Tahoma" w:hAnsi="Tahoma" w:cs="宋体"/>
      <w:sz w:val="24"/>
      <w:szCs w:val="32"/>
    </w:rPr>
  </w:style>
  <w:style w:type="character" w:styleId="9">
    <w:name w:val="pag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2020-08-07T05:50:00Z</dcterms:created>
  <dc:creator>丶Su _!</dc:creator>
  <cp:lastModifiedBy>林惠芬</cp:lastModifiedBy>
  <cp:lastPrinted>2021-07-22T06:07:00Z</cp:lastPrinted>
  <dcterms:modified xsi:type="dcterms:W3CDTF">2021-07-22T08:21:14Z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1B61C7546E8F4BFAA6DBEF2347C002D7</vt:lpwstr>
  </property>
</Properties>
</file>