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1"/>
          <w:szCs w:val="31"/>
        </w:rPr>
      </w:pPr>
      <w:r>
        <w:rPr>
          <w:rFonts w:hint="eastAsia" w:ascii="黑体" w:hAnsi="黑体" w:eastAsia="黑体" w:cs="黑体"/>
          <w:sz w:val="31"/>
          <w:szCs w:val="31"/>
        </w:rPr>
        <w:t>附件</w:t>
      </w:r>
    </w:p>
    <w:p>
      <w:pPr>
        <w:pStyle w:val="2"/>
        <w:jc w:val="center"/>
        <w:rPr>
          <w:rFonts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2023年度房屋鉴定机构核查情况一览表</w:t>
      </w:r>
    </w:p>
    <w:bookmarkEnd w:id="0"/>
    <w:tbl>
      <w:tblPr>
        <w:tblStyle w:val="10"/>
        <w:tblW w:w="13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239"/>
        <w:gridCol w:w="1215"/>
        <w:gridCol w:w="6565"/>
        <w:gridCol w:w="178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tabs>
                <w:tab w:val="center" w:pos="4153"/>
                <w:tab w:val="right" w:pos="8306"/>
              </w:tabs>
              <w:snapToGrid w:val="0"/>
              <w:jc w:val="center"/>
              <w:rPr>
                <w:rFonts w:eastAsia="宋体"/>
                <w:sz w:val="24"/>
                <w:szCs w:val="24"/>
              </w:rPr>
            </w:pPr>
            <w:r>
              <w:rPr>
                <w:rFonts w:eastAsia="宋体"/>
                <w:sz w:val="24"/>
                <w:szCs w:val="24"/>
              </w:rPr>
              <w:t>序号</w:t>
            </w:r>
          </w:p>
        </w:tc>
        <w:tc>
          <w:tcPr>
            <w:tcW w:w="1239" w:type="dxa"/>
            <w:vAlign w:val="center"/>
          </w:tcPr>
          <w:p>
            <w:pPr>
              <w:tabs>
                <w:tab w:val="center" w:pos="4153"/>
                <w:tab w:val="right" w:pos="8306"/>
              </w:tabs>
              <w:snapToGrid w:val="0"/>
              <w:jc w:val="center"/>
              <w:rPr>
                <w:rFonts w:eastAsia="宋体"/>
                <w:sz w:val="24"/>
                <w:szCs w:val="24"/>
              </w:rPr>
            </w:pPr>
            <w:r>
              <w:rPr>
                <w:rFonts w:hint="eastAsia" w:eastAsia="宋体"/>
                <w:sz w:val="24"/>
                <w:szCs w:val="24"/>
              </w:rPr>
              <w:t>项目   名称</w:t>
            </w:r>
          </w:p>
        </w:tc>
        <w:tc>
          <w:tcPr>
            <w:tcW w:w="1215" w:type="dxa"/>
            <w:vAlign w:val="center"/>
          </w:tcPr>
          <w:p>
            <w:pPr>
              <w:tabs>
                <w:tab w:val="center" w:pos="4153"/>
                <w:tab w:val="right" w:pos="8306"/>
              </w:tabs>
              <w:snapToGrid w:val="0"/>
              <w:jc w:val="center"/>
              <w:rPr>
                <w:rFonts w:eastAsia="宋体"/>
                <w:sz w:val="24"/>
                <w:szCs w:val="24"/>
              </w:rPr>
            </w:pPr>
            <w:r>
              <w:rPr>
                <w:rFonts w:hint="eastAsia" w:eastAsia="宋体"/>
                <w:sz w:val="24"/>
                <w:szCs w:val="24"/>
              </w:rPr>
              <w:t>鉴定   机构</w:t>
            </w:r>
          </w:p>
        </w:tc>
        <w:tc>
          <w:tcPr>
            <w:tcW w:w="6565" w:type="dxa"/>
            <w:vAlign w:val="center"/>
          </w:tcPr>
          <w:p>
            <w:pPr>
              <w:tabs>
                <w:tab w:val="center" w:pos="4153"/>
                <w:tab w:val="right" w:pos="8306"/>
              </w:tabs>
              <w:snapToGrid w:val="0"/>
              <w:jc w:val="center"/>
              <w:rPr>
                <w:rFonts w:eastAsia="宋体"/>
                <w:sz w:val="24"/>
                <w:szCs w:val="24"/>
              </w:rPr>
            </w:pPr>
            <w:r>
              <w:rPr>
                <w:rFonts w:hint="eastAsia" w:eastAsia="宋体"/>
                <w:sz w:val="24"/>
                <w:szCs w:val="24"/>
              </w:rPr>
              <w:t>发现问题</w:t>
            </w:r>
          </w:p>
        </w:tc>
        <w:tc>
          <w:tcPr>
            <w:tcW w:w="1789" w:type="dxa"/>
            <w:vAlign w:val="center"/>
          </w:tcPr>
          <w:p>
            <w:pPr>
              <w:tabs>
                <w:tab w:val="center" w:pos="4153"/>
                <w:tab w:val="right" w:pos="8306"/>
              </w:tabs>
              <w:snapToGrid w:val="0"/>
              <w:jc w:val="center"/>
              <w:rPr>
                <w:rFonts w:eastAsia="宋体"/>
                <w:sz w:val="24"/>
                <w:szCs w:val="24"/>
              </w:rPr>
            </w:pPr>
            <w:r>
              <w:rPr>
                <w:rFonts w:hint="eastAsia" w:eastAsia="宋体"/>
                <w:sz w:val="24"/>
                <w:szCs w:val="24"/>
              </w:rPr>
              <w:t>检查组要求</w:t>
            </w:r>
          </w:p>
        </w:tc>
        <w:tc>
          <w:tcPr>
            <w:tcW w:w="1719" w:type="dxa"/>
            <w:vAlign w:val="center"/>
          </w:tcPr>
          <w:p>
            <w:pPr>
              <w:tabs>
                <w:tab w:val="center" w:pos="4153"/>
                <w:tab w:val="right" w:pos="8306"/>
              </w:tabs>
              <w:snapToGrid w:val="0"/>
              <w:jc w:val="center"/>
              <w:rPr>
                <w:rFonts w:eastAsia="宋体"/>
                <w:sz w:val="24"/>
                <w:szCs w:val="24"/>
              </w:rPr>
            </w:pPr>
            <w:r>
              <w:rPr>
                <w:rFonts w:hint="eastAsia" w:eastAsia="宋体"/>
                <w:sz w:val="24"/>
                <w:szCs w:val="24"/>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kern w:val="2"/>
                <w:sz w:val="20"/>
                <w:szCs w:val="20"/>
              </w:rPr>
              <w:t>福建茶天下度假旅游开发有限公司房屋</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浙江城乡工程</w:t>
            </w:r>
            <w:r>
              <w:rPr>
                <w:rFonts w:eastAsia="宋体"/>
                <w:sz w:val="20"/>
                <w:szCs w:val="20"/>
              </w:rPr>
              <w:t>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kern w:val="2"/>
                <w:sz w:val="20"/>
                <w:szCs w:val="20"/>
              </w:rPr>
              <w:t>检测鉴定单位对此经营性房屋出具正常使用性鉴定报告（单项报告），不符合鉴定规范要求。</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eastAsia="宋体"/>
                <w:sz w:val="20"/>
                <w:szCs w:val="20"/>
              </w:rPr>
              <w:t>按规范要求</w:t>
            </w:r>
            <w:r>
              <w:rPr>
                <w:rFonts w:hint="eastAsia" w:eastAsia="宋体"/>
                <w:sz w:val="20"/>
                <w:szCs w:val="20"/>
              </w:rPr>
              <w:t>对该房屋重新</w:t>
            </w:r>
            <w:r>
              <w:rPr>
                <w:rFonts w:eastAsia="宋体"/>
                <w:sz w:val="20"/>
                <w:szCs w:val="20"/>
              </w:rPr>
              <w:t>鉴定</w:t>
            </w:r>
            <w:r>
              <w:rPr>
                <w:rFonts w:hint="eastAsia" w:eastAsia="宋体"/>
                <w:sz w:val="20"/>
                <w:szCs w:val="20"/>
              </w:rPr>
              <w:t>，出具房屋可靠性鉴定报告</w:t>
            </w:r>
            <w:r>
              <w:rPr>
                <w:rFonts w:eastAsia="宋体"/>
                <w:sz w:val="20"/>
                <w:szCs w:val="20"/>
              </w:rPr>
              <w:t>。</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大田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沙县城市至尊会所</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福建省宏实建设工程质量检测有限公司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 报告活荷载未按《工程结构通用规范》GB 55001-2021的规定进行取值；且卫生间活荷载应为2.5kN/m2，报告中取值为2.0kN/m2，取值有误。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 工程于2014年竣工，根据建成时的设计规范，已无HPB235牌号的钢筋。</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生物医药产业化基地建设项目-生物药物生产线项目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福建鑫隆达土木工程检测有限公司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报告中地基基础承载力验算未对主要计算参数进行描述</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4</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沙县海西音像制品交易城(二期)-商务办公楼</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福建省延兴工程技术有限公司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1.报告检验日期为2022.11-12～2022.11-20，但一体式数字回弹仪仪器有效期至2022.11.12。                                                            2.报告中未明确板面恒、活荷载取值。</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5</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罗桂姬</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福建省环宇工程质量检测有限公司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1.报告建筑物现状调查中的一层层高与建筑平面布置图不一致。                                                2.箍筋检测表中2L-(11)-(A-C)应为(C)端加密区，报告中写成了(B)端。                                                      3.规范名称应为《混凝土中钢筋检测技术标准》JGJ/T 152-2019，报告中写成了《混凝土中钢筋检测技术规程》JGJ/T 152-2019。</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6</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沙县观澜花园开发建设项目-S1#楼</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福建省建研工程检测有限公司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1.P1页检验结论及建议中“房屋高度为8.014m”，但P6页第七点中“房屋高度为9.40m”，前后不一致，需复核。                                                         2.P1页检验结论及建议中“框架抗震等级为三级”，但P6页第七点中“框架抗震等级为四级”，前后不一致。</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7</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福建省沙县龙华食品有限公司</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贵州垒华成工程试验检测有限责任公司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1.未按省厅[2021]1号文报告中加盖房屋安全鉴定专用章。                                                           2.规范名称应为《混凝土中钢筋检测技术标准》（JGJ/T 152-2019）、《回弹法检测混凝土抗压强度技术标准》（DBJ/T13-71-2021）、《建筑抗震设计规范》（GB 50011-2010）(2016年版)，报告中分别写成了《混凝土中钢筋检测技术规程》（JGJ/T 152-2019）、《回弹法检测混凝土抗压强度技术规程》（DBJ/T13-71-2021）、《建筑抗震设计规范》（GB 50011-2016）。</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3.本工程为钢筋混凝土框架结构，但报告中所用的检测仪器均为钢结构项目的检测仪器。                                                                          4.报告中回弹法检测混凝土抗压强度中的砼强度推定值与龄期修正后砼抗压强度推定值相同，未按规范要求进行龄期修正。                                              5.报告中柱主筋未注明检测的是哪个方向，数据无法溯源。                                       6.结论中未按《既有建筑鉴定与加固通用规范》GB 55021-2021要求进行抗震鉴定结论评价。                                                                      7.现场检测项目存在明显缺项：本工程构件施工质量检测中均未对一层的柱、梁构件进行检测，未对箍筋直径、间距及箍筋加密区长度、填充墙拉结筋进行检测。                                                                 8.根据报告中贴的计算模型，程序无法自动考虑填充墙的自重荷载，计算荷载描述有误。</w:t>
            </w:r>
          </w:p>
          <w:p>
            <w:pPr>
              <w:pStyle w:val="7"/>
              <w:widowControl/>
              <w:tabs>
                <w:tab w:val="center" w:pos="4153"/>
                <w:tab w:val="right" w:pos="8306"/>
              </w:tabs>
              <w:snapToGrid w:val="0"/>
              <w:spacing w:beforeAutospacing="0" w:afterAutospacing="0" w:line="320" w:lineRule="exact"/>
              <w:rPr>
                <w:rFonts w:eastAsia="宋体"/>
                <w:sz w:val="20"/>
                <w:szCs w:val="20"/>
              </w:rPr>
            </w:pP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按规范要求对该房屋重新鉴定。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3" w:hRule="atLeast"/>
        </w:trPr>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8</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夏茂镇俞邦村俞味小吃文旅餐厅装修改造项目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贵州垒华成工程试验检测有限责任公司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1.未按省厅[2021]1号文报告中加盖房屋安全鉴定专用章。                                  2.规范名称应为《混凝土中钢筋检测技术标准》（JGJ/T 152-2019）、《回弹法检测混凝土抗压强度技术标准》（DBJ/T13-71-2021）、《建筑抗震设计规范》（GB 50011-2010）(2016年版)，报告中分别写成了《混凝土中钢筋检测技术规程》（JGJ/T 152-2019）、《回弹法检测混凝土抗压强度技术规程》（DBJ/T13-71-2021）、《建筑抗震设计规范》（GB 50011-2016）。                                                              3.本工程为钢筋混凝土框架结构，但报告中所用的检测仪器均为钢结构项目的检测仪器。                                                                              4.本工程为无图框架结构，报告中未明确建筑物现状的建筑布置、使用功能、结构布置等详细情况，未对基础埋置深度进行检测；报告仅对少量柱、梁纵筋配置进行检测，箍筋直径、间距及箍筋加密区长度、填充墙拉结筋均未检测；但报告中描述上述柱、梁一系列的构造措施满足规范要求，结论无数据支撑。                                                          5.结论中未按《既有建筑鉴定与加固通用规范》GB 55021-2021要求进行抗震鉴定结论评价。                                                                         6.本工程构件施工质量检测中均未对一层的柱、梁构件进行检测。                      7.根据报告中贴的计算模型，程序无法自动考虑填充墙的自重荷载，计算荷载描述有误。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8.本工程位于6度区，报告中承载力验算参数取值却为7度（0.15g）。</w:t>
            </w:r>
          </w:p>
          <w:p>
            <w:pPr>
              <w:pStyle w:val="7"/>
              <w:widowControl/>
              <w:tabs>
                <w:tab w:val="center" w:pos="4153"/>
                <w:tab w:val="right" w:pos="8306"/>
              </w:tabs>
              <w:snapToGrid w:val="0"/>
              <w:spacing w:beforeAutospacing="0" w:afterAutospacing="0" w:line="320" w:lineRule="exact"/>
              <w:rPr>
                <w:rFonts w:eastAsia="宋体"/>
                <w:sz w:val="20"/>
                <w:szCs w:val="20"/>
              </w:rPr>
            </w:pP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按规范要求对该房屋重新鉴定。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9</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国家粮食和物资储备局福建七五五处站台库项目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福建省宏尚检测技术有限公司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1.报告中仪器漏全站仪，碳化深度尺；                                                    2.回弹检测敲打面偏小，不规范。                                              3.部分混凝土强度检测位置与报告不符。                                         4.原始记录信息不完善，如率定表缺环境温度信息，倾斜记录缺测点编号、截面检测记录无签字栏、仪器编号存在涂改现象；                                                   5.安全性鉴定中夹杂抗震计算参数；                                            6.未按通规要求进行抗震鉴定。</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10</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三元区台江头132号项目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健研检测集团有限公司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1.混凝土回弹率定表错用砖回弹率定表。                                   2.安全性鉴定静力计算中夹杂抗震计算参数。</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11</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三明市市直行政事业资产运营中心-餐厅项目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福州鑫隆达土木工程检测有限公司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1.原始记录缺构件评级表。                                                             2.现场绘制平面图不宜采用电子图打印。                                     3.砖回弹仪率定表未体现环境温度，且不宜与现场检测表共表。                          4.报告附图中承重墙体不同厚度均未标识说明。</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12</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福建三钢闽光股份有限公司动力厂两台煤气高效发电机组EPC总承包工程2#机烟囱</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福州鑫隆达土木工程检测有限公司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1.回弹法、钻芯法检测混凝土强度结果相差巨大，报告与原始记录关于计算结果取值说明不一致。                                                                           2.鉴定报告中鉴定内容，标题与报告审批表不一致</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13</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三明市城市物流园机动车配件研制、加工仓储中心-10#配件仓库项目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福建省延兴工程技术有限公司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1.检测仪器(全站仪) 超出检定日期；                                                     2.报告中倾斜量大经结论与检测列表前后不一致；                             3.报告附图的开间数与现场结构不一致。                                        4.现场屋面梁存在较多裂缝，报告中未提及，无相关检测数据；                       5.未对增建的钢结构夹层及钢雨篷基自身安全性与原结构之间的连接构造进行检查。                                                                               6.底层层高计算高度取值有误；                                               7.报告计算荷载取值不明确。</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14</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智能环卫设备生产基地建设项目-1#厂房项目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福建省延兴工程技术有限公司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1.现场检测的构件编号与报告中的平面布置图不符。                                       2.现场检测钢柱抗拉强度部位为翼缘，报告中为腹板。                                3.计算书：刚架的计算参数未打印；柱间支撑计算时未考虑风荷载；未对吊车梁进行承载能力复核验算。</w:t>
            </w:r>
          </w:p>
          <w:p>
            <w:pPr>
              <w:pStyle w:val="7"/>
              <w:widowControl/>
              <w:tabs>
                <w:tab w:val="center" w:pos="4153"/>
                <w:tab w:val="right" w:pos="8306"/>
              </w:tabs>
              <w:snapToGrid w:val="0"/>
              <w:spacing w:beforeAutospacing="0" w:afterAutospacing="0" w:line="320" w:lineRule="exact"/>
              <w:rPr>
                <w:rFonts w:eastAsia="宋体"/>
                <w:sz w:val="20"/>
                <w:szCs w:val="20"/>
              </w:rPr>
            </w:pP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15</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三明市福利中心1号楼、2号楼、3号楼房屋安全性鉴定项目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福建九鼎工程质量检测有限公司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1.部分设计图纸缺失，主筋检测数量不足。                                                2.屋面钢结构存在问题描述不完整。                                          3.砼强度龄期修正结果无法溯源。                                          4.计算中一层层高取值未取至基础顶面；墙线荷载计算书缺失；未考虑屋面水箱荷载及增建钢结构；未进行支撑承载能力计算。                                  5.未对各层的构件集中进行评级。                                             6.3号楼作为儿童福利中心使用，未按乙类设防进行抗震鉴定。</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16</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三明市三元区鑫元立物业管理有限公司综合楼（原三元法院大楼）项目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福建省永正工程质量检测有限公司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1.计算书中未打印总信息、位移、周期、墙线荷载计算等基本参数。                      2.报告抗震鉴定中原报告检测箍筋直径Ф6，不满足报告中的现行抗规要求。                                                                           3.结构改造后，个别梁传力路径不合理，建议采取措施处理。                     4.部分加固构件施工与加固设计不符，建议对加固施工质量进行全面复查。</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17</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三明市妇联幼儿园项目</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福建省永正工程质量检测有限公司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1.计算书计算参数不全，无墙线荷载计算过程、位移、周期等基本信息，周期折减系数取值有误。                                                                      2.首层计算高度取值有误。                                                  3.个别墙线位置与报告附图不符，附图中个别隔墙未画出。                            4.屋面架空隔热层位置未标注，未进行相关工作状态检查。                           5.未对新增的简易钢结构进行相关评价，未考虑该部分荷载。</w:t>
            </w:r>
          </w:p>
          <w:p>
            <w:pPr>
              <w:pStyle w:val="7"/>
              <w:widowControl/>
              <w:tabs>
                <w:tab w:val="center" w:pos="4153"/>
                <w:tab w:val="right" w:pos="8306"/>
              </w:tabs>
              <w:snapToGrid w:val="0"/>
              <w:spacing w:beforeAutospacing="0" w:afterAutospacing="0" w:line="320" w:lineRule="exact"/>
              <w:rPr>
                <w:rFonts w:eastAsia="宋体"/>
                <w:sz w:val="20"/>
                <w:szCs w:val="20"/>
              </w:rPr>
            </w:pP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对报告所存在的问题进行整改</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18</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中沙税务局宿舍楼（中沙村街上6号）</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广东保顺</w:t>
            </w:r>
            <w:r>
              <w:rPr>
                <w:rFonts w:eastAsia="宋体"/>
                <w:sz w:val="20"/>
                <w:szCs w:val="20"/>
              </w:rPr>
              <w:t>检测</w:t>
            </w:r>
            <w:r>
              <w:rPr>
                <w:rFonts w:hint="eastAsia" w:eastAsia="宋体"/>
                <w:sz w:val="20"/>
                <w:szCs w:val="20"/>
              </w:rPr>
              <w:t>鉴定</w:t>
            </w:r>
            <w:r>
              <w:rPr>
                <w:rFonts w:eastAsia="宋体"/>
                <w:sz w:val="20"/>
                <w:szCs w:val="20"/>
              </w:rPr>
              <w:t>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1.报告中未见承重墙体厚度检测数据，未见结构层高检测数据；</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2.现场砖强度及砌筑砂浆强度检测测区布置不满足检测要求；</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3.现场回弹法混凝土强度测区布置不满足检测要求；</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4.未按规定进行抗震鉴定；</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5.报告中仅体现房屋层间位移检测结果，未对结构整体侧向位移进行检测；</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6.报告中《回弹法检测混凝土强度技术规程》JGJ/23-2011标准不适用；</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7.报告中未附建筑图；</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8.未提供原始检测记录；</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9.未在“福建省房屋安全信息管理系统”上传报告。</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eastAsia="宋体"/>
                <w:sz w:val="20"/>
                <w:szCs w:val="20"/>
              </w:rPr>
              <w:t>对报告所存在的问题进行整改，并按规范要求</w:t>
            </w:r>
            <w:r>
              <w:rPr>
                <w:rFonts w:hint="eastAsia" w:eastAsia="宋体"/>
                <w:sz w:val="20"/>
                <w:szCs w:val="20"/>
              </w:rPr>
              <w:t>对该房屋重新</w:t>
            </w:r>
            <w:r>
              <w:rPr>
                <w:rFonts w:eastAsia="宋体"/>
                <w:sz w:val="20"/>
                <w:szCs w:val="20"/>
              </w:rPr>
              <w:t>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19</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石壁税务局宿舍楼</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广东保顺检测鉴定有限公司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1.报告中未见承重墙体厚度检测数据，未见结构层高检测数据；</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2.现场砖强度及砌筑砂浆强度检测测区布置不满足检测要求；</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3.现场回弹法混凝土强度测区布置不满足检测要求；</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4.报告中仅体现房屋层间位移检测结果，未对结构整体侧向位移进行检测；</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5.未按规定进行抗震鉴定；</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6.报告中《回弹法检测混凝土强度技术规程》JGJ/23-2011标准不适用；</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7.报告中未附建筑图；</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8.未提供原始检测记录；</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9.未在“福建省房屋安全信息管理系统”上传报告。</w:t>
            </w:r>
          </w:p>
        </w:tc>
        <w:tc>
          <w:tcPr>
            <w:tcW w:w="1789"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按规范要求重新开展鉴定并及时上传鉴定报告至福建省房屋安全信息管理系统。</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20</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一号厂房</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河南圣堂检测技术有限公司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1.报告中3.3条中描述“墙面、屋面檩条与刚架柱、刚架梁间均按设计要求设置隅撑”与现场情况不符，现场相关位置未设置隅撑，该建筑无设计资料；</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2.报告中3.4.1条描述“所检主构件面漆基本完好，未发现明显损伤和锈蚀”与现场情况不符，现场部分钢构件存在明显锈蚀情况；</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3.报告中未见梁柱节点、柱脚节点勘查检测内容；</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4.报告中未见钢构件焊缝勘查检测内容；</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5.报告中所附结构布置图与现场不一致；</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6.报告中钢梁、系杆截面尺寸与现场不符；</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7.报告中体现的里氏硬度计检测钢材抗拉强度的构件现场未见打磨检测痕迹；</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8.报告中表3.1.1计算参数取值中梁柱节点、梁梁节点螺栓取10.9级与现场情况不符，现场梁柱节点焊接节点；</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9.报告中未按要求进行抗震鉴定；</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10.未提供计算书及原始检测记录；</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11.未在“福建省房屋安全信息管理系统”上传报告。</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按规范要求重新开展鉴定并及时上传鉴定报告至福建省房屋安全信息管理系统。</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21</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大田乡料坊村新建移民文化活动中心</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河南圣堂检测技术有限公司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检测报告第四点“建筑抗震鉴定4.1抗震鉴定参数中，该工程于2015年建成并投入使用”，该工程竣工验收时间2023年，未在2015年竣工验收，数据有误。</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按规范要求整改并重新出具鉴定报告</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泰宁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22</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福建华电永安发电有限公司-3#楼（八层单身楼）</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福建省永正工程质量检测有限公司</w:t>
            </w:r>
          </w:p>
        </w:tc>
        <w:tc>
          <w:tcPr>
            <w:tcW w:w="6565" w:type="dxa"/>
            <w:vAlign w:val="center"/>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该份报告的建筑平面布置图构造柱部分未标注，结构平面布置图未见梁、柱尺寸标注；</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建筑平面布置图和结构平面图均未标注1/D，2/D，1/7轴线号，建筑结构图承重砖墙部分门窗洞口尺寸及定位未标注，且房间的建筑使用功能未明确；</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楼梯间连廓为框架结构与D轴主体结构已设置伸缩缝，而建筑平面图未标注。</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《民用建筑可靠性鉴定标准》(GB 50292-2015)附录K.0.2款笫4条规定，混凝土抗压强度等级在C20--C50之间，且实测的碳化深度已大于6mm才满足砼龄期修正条件，而该报告中未体现碳化深度实测且混凝土抗压强度推定值部分小于C20级，是否可以采用龄期修正系数。</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混凝土设计强度等级为C18，而实测混凝土抗压强度推定值在C18.3~C33.5区间，检测数据存疑；</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现场主要检测仪器汇总未标注检测仪器使用有效期；</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无结构计算模型图</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实测钢筋混凝土柱、梁，墙体砖、砂浆强度现场实测图片未提供，现已覆盖，检测部位无法核实；</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该房屋由一道变形缝分为两个独立的鉴定单元，鉴定报告中未明确两个鉴定单元1、2所对应的区域，除上部结构承载功能分别评价外，其余均未按两个鉴定单元进行评级，不满足GB 50292-2015的鉴定程序要求；</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检测依据建议补充《混凝土结构工程施工质量验收规范》GB 50204-2015。</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23</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福建华电永安发电有限公司-辅助车间一</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福建省永正工程质量检测有限公司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该房屋已超过设计使用年限，鉴定结论：可靠性评定为四级，综合抗震能力不满足规范要求。但报告结论未对采取措施进行描述。描述情况应为：立即停止使用，采取加固或拆除措施。但该房屋仍在使用中。</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《民用建筑可靠性鉴定标准》(GB 50292-2015)附录K.0.2款笫4条规定，混凝土抗压强度等级在C20--C50之间，且实测的碳化深度已大于6mm才满足砼龄期修正条件，而该报告中未体现碳化深度实测且混凝土抗压强度推定值部分小于C20级，是否可以采用龄期修正系数。</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报告中二层建筑平面布置图标注为屋面建筑平面布置图，屋面建筑平面布置图无；</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报告中工程概况栏未描述基础结构信息；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建筑结构图承重砖墙部分门窗洞口尺寸及定位未标注；</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现场主要检测仪器汇总未标注检测仪器使用有效期；</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无结构计算模型图；</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实测钢筋混凝土柱、梁，墙体砖、砂浆强度现场实测图片未提供，现已覆盖，检测部位无法核实。</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检测依据建议补充《混凝土结构工程施工质量验收规范》GB 50204-2015；</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24</w:t>
            </w:r>
          </w:p>
        </w:tc>
        <w:tc>
          <w:tcPr>
            <w:tcW w:w="1239"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福建华电永安发电有限公司-俱乐部</w:t>
            </w:r>
          </w:p>
        </w:tc>
        <w:tc>
          <w:tcPr>
            <w:tcW w:w="1215"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福建省永正工程质量检测有限公司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1.报告中未对球馆大跨度钢木桁架结构屋面进行安全性、使用性、可靠性评估；</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2.《民用建筑可靠性鉴定标准》(GB 50292-2015)附录K.0.2款笫4条规定，混凝土抗压强度等级在C20--C50之间，且实测的碳化深度已大于6mm才满足砼龄期修正条件，而该报告中未体现碳化深度实测，是否可以采用龄期修正系数；</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3.报告中工程概况栏未描述基础结构信息；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4.建筑结构图承重砖墙部分门窗洞口尺寸及定位未标注；</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5.现场主要检测仪器汇总未标注检测仪器使用有效期；</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6.混凝土设计强度等级为200#，而实测混凝土抗压强度推定值在C27.9~C42.1区间，检测数据存疑；</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7.检测依据建议补充《混凝土结构工程施工质量验收规范》GB 50204-2015。</w:t>
            </w:r>
          </w:p>
        </w:tc>
        <w:tc>
          <w:tcPr>
            <w:tcW w:w="1789"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25</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福建华电永安发电有限公司-培训楼</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福建省永正工程质量检测有限公司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1.该份报告的建筑平面布置图构造柱均未标注，结构平面布置图未见梁、柱尺寸标注；</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2.建筑结构图承重砖墙部分门窗洞口尺寸及定位未标注，且房间的建筑使用功能未明确；</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3.《民用建筑可靠性鉴定标准》(GB 50292-2015)附录K.0.2款笫4条规定，混凝土抗压强度等级在C20--C50之间，且实测的碳化深度已大于6mm才满足砼龄期修正条件，而该报告中未体现碳化深度实测且混凝土抗压强度推定值部分小于C20级，是否可以采用龄期修正系数。</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5.混凝土设计强度等级为C18，而实测混凝土抗压强度推定值在C18.3~C32.8区间，检测数据存疑；</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6.现场主要检测仪器汇总未标注检测仪器使用有效期；</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7.无结构计算模型图，计算参数中基本风压取值0.35KN/㎡，永安的基本风压取值为0.4 KN/㎡,取值有误；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8.实测钢筋混凝土柱、梁，墙体砖、砂浆强度现场实测图片未提供，现已覆盖，检测部位无法核实。</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9.检测依据建议补充《混凝土结构工程施工质量验收规范》GB 50204-2015。</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26</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福建华电永安发电有限公司-耐磨车间</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福建省永正工程质量检测有限公司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1.报告中工程概况描述该耐磨车间位于南平市建瓯市，描述错误；建筑高度未描述。</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2.计算参数无房屋高度取值。</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3.未绘制柱网平面布置图，无法确认GZ1与GZ2分布情况，屋面结构布置图中未标注GJ-*编号，无法确认GJ-1与GJ-2布置情况。</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4.报告中工程概况栏未描述基础结构信息；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5.现场主要检测仪器汇总未标注检测仪器使用有效期；</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6.里氏硬度法检测钢材抗拉强度汇总表中钢柱、钢梁抗拉强度推定值能否满足计算参数采用的Q345的材料要求，汇总表中结论无。</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7.该报告鉴定结论：可靠性评定为四级，综合抗震性为不符合抗震规范要求。但报告结论未对采取措施进行描述。描述情况应为：立即停止使用，采取加固或拆除措施，但该厂房仍在使用中；</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8.检测依据建议补充《混凝土结构工程施工质量验收规范》GB 50204-2015。</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27</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福建永安建福水泥有限公司-粘土库</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福建省延兴工程技术有限公司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1.报告中工程概况栏未描述基础结构信息。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2.该网架结构可靠性评定等级为C级，而抗震评定结论：本工程综合抗震性能基本符合抗震规范要求，该抗震鉴定结论有误。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3.该报告注明有效期一年，没有依据；</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4.附表6：7xC、8xC标注为柱梁节点标注有误，应是钢筋混凝土柱与圆钢柱连接节点；</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5.计算参数、材料取值未提供；</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6.《民用建筑可靠性鉴定标准》(GB 50292-2015)附录K.0.2款笫4条规定，混凝土抗压强度等级在C20--C50之间，且实测的碳化深度已大于6mm才满足砼龄期修正条件，而该报告中未体现碳化深度实测，是否可以采用龄期修正系数。</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28</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福建安砂建福水泥有限公司-辅料堆场</w:t>
            </w: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福建省延兴工程技术有限公司</w:t>
            </w:r>
          </w:p>
        </w:tc>
        <w:tc>
          <w:tcPr>
            <w:tcW w:w="6565" w:type="dxa"/>
          </w:tcPr>
          <w:p>
            <w:pPr>
              <w:spacing w:line="320" w:lineRule="exact"/>
              <w:rPr>
                <w:rFonts w:eastAsia="宋体"/>
                <w:kern w:val="0"/>
                <w:sz w:val="20"/>
                <w:szCs w:val="20"/>
              </w:rPr>
            </w:pPr>
            <w:r>
              <w:rPr>
                <w:rFonts w:hint="eastAsia" w:eastAsia="宋体"/>
                <w:kern w:val="0"/>
                <w:sz w:val="20"/>
                <w:szCs w:val="20"/>
              </w:rPr>
              <w:t>1.报告中工程概况栏未描述基础结构信息。</w:t>
            </w:r>
          </w:p>
          <w:p>
            <w:pPr>
              <w:spacing w:line="320" w:lineRule="exact"/>
              <w:rPr>
                <w:rFonts w:eastAsia="宋体"/>
                <w:kern w:val="0"/>
                <w:sz w:val="20"/>
                <w:szCs w:val="20"/>
              </w:rPr>
            </w:pPr>
            <w:r>
              <w:rPr>
                <w:rFonts w:hint="eastAsia" w:eastAsia="宋体"/>
                <w:kern w:val="0"/>
                <w:sz w:val="20"/>
                <w:szCs w:val="20"/>
              </w:rPr>
              <w:t>2.该报告注明有效期一年，没有依据；</w:t>
            </w:r>
          </w:p>
          <w:p>
            <w:pPr>
              <w:spacing w:line="320" w:lineRule="exact"/>
              <w:rPr>
                <w:rFonts w:eastAsia="宋体"/>
                <w:kern w:val="0"/>
                <w:sz w:val="20"/>
                <w:szCs w:val="20"/>
              </w:rPr>
            </w:pPr>
            <w:r>
              <w:rPr>
                <w:rFonts w:hint="eastAsia" w:eastAsia="宋体"/>
                <w:kern w:val="0"/>
                <w:sz w:val="20"/>
                <w:szCs w:val="20"/>
              </w:rPr>
              <w:t>3.计算参数、材料取值未提供；</w:t>
            </w:r>
          </w:p>
          <w:p>
            <w:pPr>
              <w:spacing w:line="320" w:lineRule="exact"/>
              <w:rPr>
                <w:rFonts w:eastAsia="宋体"/>
                <w:kern w:val="0"/>
                <w:sz w:val="20"/>
                <w:szCs w:val="20"/>
              </w:rPr>
            </w:pPr>
            <w:r>
              <w:rPr>
                <w:rFonts w:hint="eastAsia" w:eastAsia="宋体"/>
                <w:kern w:val="0"/>
                <w:sz w:val="20"/>
                <w:szCs w:val="20"/>
              </w:rPr>
              <w:t>4.《民用建筑可靠性鉴定标准》(GB 50292-2015)附录K.0.2款笫4条规定，混凝土抗压强度等级在 C20--C50之间，且实测的碳化深度已大于6mm才满足砼龄期修正条件，而该报告中未体现碳化深度实测且多数构件混凝土抗压强度推定值小于C20，是否可以采用龄期修正系数。</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5.该报告鉴定结论：可靠性评定为四级，抗震性为不符合抗震规范要求。但报告结论未对采取措施进行描述。描述情况应为：立即停止使用，采取加固或拆除措施，但该厂房仍在使用中。</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29</w:t>
            </w:r>
          </w:p>
        </w:tc>
        <w:tc>
          <w:tcPr>
            <w:tcW w:w="1239"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福建省三明市永安市燕西街道尾桥小区168号2#楼</w:t>
            </w:r>
          </w:p>
        </w:tc>
        <w:tc>
          <w:tcPr>
            <w:tcW w:w="1215"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福建省鑫隆达土木工程检测有限公司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1.报告中项目检测日期：2022.4.16，出具检测鉴定报告日期：2023.7.5，时间间隔较长，未说明原因；</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2.报告中工程概况栏未描述基础结构信息；</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3.该报告未附检测人员及相关人员资格证书，报告未上传。</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4.该栋房屋可靠性鉴定等级评定为Ⅳ级，未说明采取下一步措施，但该房屋已停止使用。</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p>
        </w:tc>
        <w:tc>
          <w:tcPr>
            <w:tcW w:w="1239"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eastAsia="宋体"/>
                <w:sz w:val="20"/>
                <w:szCs w:val="20"/>
              </w:rPr>
              <w:t>福建省三明市永安市燕西街道尾桥小区168号</w:t>
            </w:r>
            <w:r>
              <w:rPr>
                <w:rFonts w:hint="eastAsia" w:eastAsia="宋体"/>
                <w:sz w:val="20"/>
                <w:szCs w:val="20"/>
              </w:rPr>
              <w:t>7</w:t>
            </w:r>
            <w:r>
              <w:rPr>
                <w:rFonts w:eastAsia="宋体"/>
                <w:sz w:val="20"/>
                <w:szCs w:val="20"/>
              </w:rPr>
              <w:t>#楼</w:t>
            </w:r>
          </w:p>
        </w:tc>
        <w:tc>
          <w:tcPr>
            <w:tcW w:w="1215" w:type="dxa"/>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福建省鑫隆达土木工程检测有限公司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eastAsia="宋体"/>
                <w:sz w:val="20"/>
                <w:szCs w:val="20"/>
              </w:rPr>
              <w:t>1.报告中项目检测日期：2022.4.16，出具检测鉴定报告日期：2023.7.5，时间间隔较长，未说明原因；</w:t>
            </w:r>
          </w:p>
          <w:p>
            <w:pPr>
              <w:pStyle w:val="7"/>
              <w:widowControl/>
              <w:tabs>
                <w:tab w:val="center" w:pos="4153"/>
                <w:tab w:val="right" w:pos="8306"/>
              </w:tabs>
              <w:snapToGrid w:val="0"/>
              <w:spacing w:beforeAutospacing="0" w:afterAutospacing="0" w:line="320" w:lineRule="exact"/>
              <w:rPr>
                <w:rFonts w:eastAsia="宋体"/>
                <w:sz w:val="20"/>
                <w:szCs w:val="20"/>
              </w:rPr>
            </w:pPr>
            <w:r>
              <w:rPr>
                <w:rFonts w:eastAsia="宋体"/>
                <w:sz w:val="20"/>
                <w:szCs w:val="20"/>
              </w:rPr>
              <w:t>2.报告中工程概况栏未描述基础结构信息；</w:t>
            </w:r>
          </w:p>
          <w:p>
            <w:pPr>
              <w:pStyle w:val="7"/>
              <w:widowControl/>
              <w:tabs>
                <w:tab w:val="center" w:pos="4153"/>
                <w:tab w:val="right" w:pos="8306"/>
              </w:tabs>
              <w:snapToGrid w:val="0"/>
              <w:spacing w:beforeAutospacing="0" w:afterAutospacing="0" w:line="320" w:lineRule="exact"/>
              <w:rPr>
                <w:rFonts w:eastAsia="宋体"/>
                <w:sz w:val="20"/>
                <w:szCs w:val="20"/>
              </w:rPr>
            </w:pPr>
            <w:r>
              <w:rPr>
                <w:rFonts w:eastAsia="宋体"/>
                <w:sz w:val="20"/>
                <w:szCs w:val="20"/>
              </w:rPr>
              <w:t>3.该报告未附检测人员及相关人员资格证书，报告未上传。</w:t>
            </w:r>
          </w:p>
          <w:p>
            <w:pPr>
              <w:pStyle w:val="7"/>
              <w:widowControl/>
              <w:tabs>
                <w:tab w:val="center" w:pos="4153"/>
                <w:tab w:val="right" w:pos="8306"/>
              </w:tabs>
              <w:snapToGrid w:val="0"/>
              <w:spacing w:beforeAutospacing="0" w:afterAutospacing="0" w:line="320" w:lineRule="exact"/>
              <w:rPr>
                <w:rFonts w:eastAsia="宋体"/>
                <w:sz w:val="20"/>
                <w:szCs w:val="20"/>
              </w:rPr>
            </w:pPr>
            <w:r>
              <w:rPr>
                <w:rFonts w:eastAsia="宋体"/>
                <w:sz w:val="20"/>
                <w:szCs w:val="20"/>
              </w:rPr>
              <w:t>4.该栋房屋可靠性鉴定等级评定为Ⅳ级，未说明采取下一步措施，但该房屋已停止使用。</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30</w:t>
            </w:r>
          </w:p>
        </w:tc>
        <w:tc>
          <w:tcPr>
            <w:tcW w:w="123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闽中公铁联运物流基地铁路港项目铁路专用线益口站既有信号楼</w:t>
            </w:r>
          </w:p>
          <w:p>
            <w:pPr>
              <w:pStyle w:val="7"/>
              <w:widowControl/>
              <w:tabs>
                <w:tab w:val="center" w:pos="4153"/>
                <w:tab w:val="right" w:pos="8306"/>
              </w:tabs>
              <w:snapToGrid w:val="0"/>
              <w:spacing w:beforeAutospacing="0" w:afterAutospacing="0" w:line="320" w:lineRule="exact"/>
              <w:jc w:val="center"/>
              <w:rPr>
                <w:rFonts w:eastAsia="宋体"/>
                <w:sz w:val="20"/>
                <w:szCs w:val="20"/>
              </w:rPr>
            </w:pPr>
          </w:p>
        </w:tc>
        <w:tc>
          <w:tcPr>
            <w:tcW w:w="1215"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福建省环宇工程质量检测有限公司</w:t>
            </w:r>
          </w:p>
        </w:tc>
        <w:tc>
          <w:tcPr>
            <w:tcW w:w="6565" w:type="dxa"/>
          </w:tcPr>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1.项目甲方委托内容为“建筑结构布置检测及承载力验算”，非房屋可靠性鉴定委托，因此，未进行房屋可靠性鉴定评级。未对房屋使用性、安全性、可靠性进行评定。</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2.该报告由鉴定单位进行建筑结构布置核查，基于委托方提供的设备荷载，材料强度参数进行承载力复核。</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3.业主委托的目的是为了在屋面增设设备荷载，经机构验算承载力是否满足结构安全要求。</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4.根据委托方要求，结合委托方提供的设备荷载、材料强度参数进行承载力复核，经验算结论为：部分承重墙体受压承载力、局部受压承载力不满足规范要求。</w:t>
            </w:r>
          </w:p>
          <w:p>
            <w:pPr>
              <w:pStyle w:val="7"/>
              <w:widowControl/>
              <w:tabs>
                <w:tab w:val="center" w:pos="4153"/>
                <w:tab w:val="right" w:pos="8306"/>
              </w:tabs>
              <w:snapToGrid w:val="0"/>
              <w:spacing w:beforeAutospacing="0" w:afterAutospacing="0" w:line="320" w:lineRule="exact"/>
              <w:rPr>
                <w:rFonts w:eastAsia="宋体"/>
                <w:sz w:val="20"/>
                <w:szCs w:val="20"/>
              </w:rPr>
            </w:pPr>
            <w:r>
              <w:rPr>
                <w:rFonts w:hint="eastAsia" w:eastAsia="宋体"/>
                <w:sz w:val="20"/>
                <w:szCs w:val="20"/>
              </w:rPr>
              <w:t>5.经我局专业技术人员现场核查，该房屋二层楼板未增加设备。</w:t>
            </w:r>
          </w:p>
        </w:tc>
        <w:tc>
          <w:tcPr>
            <w:tcW w:w="178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针对报告的问题,要求整改反馈。</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31</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建宁商贸城（二期）万家财富广场</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福建省永正工程质量检测有限公司</w:t>
            </w:r>
          </w:p>
        </w:tc>
        <w:tc>
          <w:tcPr>
            <w:tcW w:w="6565" w:type="dxa"/>
            <w:vAlign w:val="center"/>
          </w:tcPr>
          <w:p>
            <w:pPr>
              <w:pStyle w:val="7"/>
              <w:widowControl/>
              <w:tabs>
                <w:tab w:val="center" w:pos="4153"/>
                <w:tab w:val="right" w:pos="8306"/>
              </w:tabs>
              <w:snapToGrid w:val="0"/>
              <w:spacing w:beforeAutospacing="0" w:afterAutospacing="0"/>
              <w:rPr>
                <w:rFonts w:eastAsia="宋体"/>
                <w:sz w:val="20"/>
                <w:szCs w:val="20"/>
              </w:rPr>
            </w:pPr>
            <w:r>
              <w:rPr>
                <w:rFonts w:hint="eastAsia" w:eastAsia="宋体"/>
                <w:sz w:val="20"/>
                <w:szCs w:val="20"/>
              </w:rPr>
              <w:t>鉴定结论中所述的“本工程增设夹层楼板不影响结构整体安全”，无相关数据及计算支撑。</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补充合理的数据支撑结论，并提出合理的增设夹层建议，如荷载大小、用途及消防建议等。</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32</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建宁县碧桂园17#</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福建瑞景检测有限公司</w:t>
            </w:r>
          </w:p>
        </w:tc>
        <w:tc>
          <w:tcPr>
            <w:tcW w:w="6565" w:type="dxa"/>
            <w:vAlign w:val="center"/>
          </w:tcPr>
          <w:p>
            <w:pPr>
              <w:pStyle w:val="7"/>
              <w:widowControl/>
              <w:tabs>
                <w:tab w:val="center" w:pos="4153"/>
                <w:tab w:val="right" w:pos="8306"/>
              </w:tabs>
              <w:snapToGrid w:val="0"/>
              <w:spacing w:beforeAutospacing="0" w:afterAutospacing="0"/>
              <w:rPr>
                <w:rFonts w:eastAsia="宋体"/>
                <w:sz w:val="20"/>
                <w:szCs w:val="20"/>
              </w:rPr>
            </w:pPr>
            <w:r>
              <w:rPr>
                <w:rFonts w:hint="eastAsia" w:eastAsia="宋体"/>
                <w:sz w:val="20"/>
                <w:szCs w:val="20"/>
              </w:rPr>
              <w:t>鉴定结论均为“Ⅱ级(尚不显著影响整体承载和使用功能)”，但未说明具体的理由，如某项数据不达标，仅写了相关规定的文件名，依据的内容不够细致充分。</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补充详细内容，提供充分的理由支撑鉴定结论。</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33</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建宁县碧桂园21#</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福建瑞景检测有限公司</w:t>
            </w:r>
          </w:p>
        </w:tc>
        <w:tc>
          <w:tcPr>
            <w:tcW w:w="656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鉴定结论均为“Ⅱ级(尚不显著影响整体承载和使用功能)”，但未说明具体的理由，如某项数据不达标，仅写了相关规定的文件名，依据的内容不够细致充分。</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补充详细内容，提供充分的理由支撑鉴定结论。</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34</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建宁县碧桂园22#</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福建瑞景检测有限公司</w:t>
            </w:r>
          </w:p>
        </w:tc>
        <w:tc>
          <w:tcPr>
            <w:tcW w:w="656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鉴定结论均为“Ⅱ级(尚不显著影响整体承载和使用功能)”，但未说明具体的理由，如某项数据不达标，仅写了相关规定的文件名，依据的内容不够细致充分。</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补充详细内容，提供充分的理由支撑鉴定结论。</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35</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尤溪县华明宾馆</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湖南金君工程科技有限公司</w:t>
            </w:r>
          </w:p>
        </w:tc>
        <w:tc>
          <w:tcPr>
            <w:tcW w:w="6565" w:type="dxa"/>
            <w:vAlign w:val="center"/>
          </w:tcPr>
          <w:p>
            <w:pPr>
              <w:pStyle w:val="7"/>
              <w:widowControl/>
              <w:tabs>
                <w:tab w:val="center" w:pos="4153"/>
                <w:tab w:val="right" w:pos="8306"/>
              </w:tabs>
              <w:snapToGrid w:val="0"/>
              <w:spacing w:beforeAutospacing="0" w:afterAutospacing="0"/>
              <w:rPr>
                <w:rFonts w:eastAsia="宋体"/>
                <w:sz w:val="20"/>
                <w:szCs w:val="20"/>
              </w:rPr>
            </w:pPr>
            <w:r>
              <w:rPr>
                <w:rFonts w:hint="eastAsia" w:eastAsia="宋体"/>
                <w:sz w:val="20"/>
                <w:szCs w:val="20"/>
              </w:rPr>
              <w:t>1.该报告仅做局部楼层可靠性鉴定，未做整栋建筑的安全性鉴定；       2.该项目为无设计图项目，报告中仅对水平构件进行检测和评定，无竖向构件检测；现场构件检测数量不足以支撑相关的承载力验算；                    3.华明宾馆报告的附件四钢筋配置检测报告中委托方为泉州市鲤城区临江街道伍堡社区与实际不符。</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鉴定报告退回，  重新委托鉴定。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尤溪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36</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尤溪金都宾馆</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湖南金君工程科技有限公司</w:t>
            </w:r>
          </w:p>
        </w:tc>
        <w:tc>
          <w:tcPr>
            <w:tcW w:w="6565" w:type="dxa"/>
            <w:vAlign w:val="center"/>
          </w:tcPr>
          <w:p>
            <w:pPr>
              <w:pStyle w:val="7"/>
              <w:widowControl/>
              <w:tabs>
                <w:tab w:val="center" w:pos="4153"/>
                <w:tab w:val="right" w:pos="8306"/>
              </w:tabs>
              <w:snapToGrid w:val="0"/>
              <w:spacing w:beforeAutospacing="0" w:afterAutospacing="0"/>
              <w:rPr>
                <w:rFonts w:eastAsia="宋体"/>
                <w:sz w:val="20"/>
                <w:szCs w:val="20"/>
              </w:rPr>
            </w:pPr>
            <w:r>
              <w:rPr>
                <w:rFonts w:hint="eastAsia" w:eastAsia="宋体"/>
                <w:sz w:val="20"/>
                <w:szCs w:val="20"/>
              </w:rPr>
              <w:t>1.该报告仅做局部楼层可靠性鉴定，未做整栋建筑的安全性鉴定；       2.该项目为无设计图项目，报告中仅对水平构件进行检测和评定，无竖向构件检测；现场构件检测数量不足以支撑相关的承载力验算；</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鉴定报告退回，  重新委托鉴定。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尤溪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37</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尤溪县企业局综合楼城东宾馆</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首辅工程设计有限公司（三明市丰泽分公司）</w:t>
            </w:r>
          </w:p>
        </w:tc>
        <w:tc>
          <w:tcPr>
            <w:tcW w:w="6565" w:type="dxa"/>
            <w:vAlign w:val="center"/>
          </w:tcPr>
          <w:p>
            <w:pPr>
              <w:pStyle w:val="7"/>
              <w:widowControl/>
              <w:tabs>
                <w:tab w:val="center" w:pos="4153"/>
                <w:tab w:val="right" w:pos="8306"/>
              </w:tabs>
              <w:snapToGrid w:val="0"/>
              <w:spacing w:beforeAutospacing="0" w:afterAutospacing="0"/>
              <w:rPr>
                <w:rFonts w:eastAsia="宋体"/>
                <w:sz w:val="20"/>
                <w:szCs w:val="20"/>
              </w:rPr>
            </w:pPr>
            <w:r>
              <w:rPr>
                <w:rFonts w:hint="eastAsia" w:eastAsia="宋体"/>
                <w:sz w:val="20"/>
                <w:szCs w:val="20"/>
              </w:rPr>
              <w:t>1.无抗震鉴定；                                                  2.报告未体现加层和屋顶搭盖轻钢雨棚；同时报告中未明确屋面为不上人屋面，与报告中照片不一致；                                       3.未按现行《民用建筑可靠性鉴定标准》要求进行构件和子单元的评级；     4.该项目为无设计图项目，现场构件检测数量不足以支撑整栋建筑的承载力验算；                                                         5.侧向位移检测仅有一个点，且只有一个方向。</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鉴定报告退回，  重新委托鉴定。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尤溪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38</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尤溪县夏天商务宾馆</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湖北诚达建筑工程质量检测有限公司</w:t>
            </w:r>
          </w:p>
        </w:tc>
        <w:tc>
          <w:tcPr>
            <w:tcW w:w="6565" w:type="dxa"/>
            <w:vAlign w:val="center"/>
          </w:tcPr>
          <w:p>
            <w:pPr>
              <w:pStyle w:val="7"/>
              <w:widowControl/>
              <w:tabs>
                <w:tab w:val="center" w:pos="4153"/>
                <w:tab w:val="right" w:pos="8306"/>
              </w:tabs>
              <w:snapToGrid w:val="0"/>
              <w:spacing w:beforeAutospacing="0" w:afterAutospacing="0"/>
              <w:rPr>
                <w:rFonts w:eastAsia="宋体"/>
                <w:sz w:val="20"/>
                <w:szCs w:val="20"/>
              </w:rPr>
            </w:pPr>
            <w:r>
              <w:rPr>
                <w:rFonts w:hint="eastAsia" w:eastAsia="宋体"/>
                <w:sz w:val="20"/>
                <w:szCs w:val="20"/>
              </w:rPr>
              <w:t>1.该建筑为无设计图项目，现场抽检的构件截面尺寸、钢筋数量、钢筋直径等检测数量严重不足，远远不足以支撑整栋建筑的承载力验算；                2.该报告中电梯井道位置，建筑和结构图不一致；                              3.该报告无钢筋强度检测检测数据；                                       4.该报告仅对部分构件进行外观检测，未按规范要求做全数检查；                       5.该报告无抗震鉴定；                                                   6.未按现行《民用建筑可靠性鉴定标准》要求进行构件和上部结构子单元的评级；                                                                    7.报告未体现屋面简易钢构加盖。</w:t>
            </w:r>
          </w:p>
          <w:p>
            <w:pPr>
              <w:pStyle w:val="7"/>
              <w:widowControl/>
              <w:tabs>
                <w:tab w:val="center" w:pos="4153"/>
                <w:tab w:val="right" w:pos="8306"/>
              </w:tabs>
              <w:snapToGrid w:val="0"/>
              <w:spacing w:beforeAutospacing="0" w:afterAutospacing="0"/>
              <w:rPr>
                <w:rFonts w:eastAsia="宋体"/>
                <w:sz w:val="20"/>
                <w:szCs w:val="20"/>
              </w:rPr>
            </w:pP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鉴定报告退回，  重新委托鉴定。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尤溪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39</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尤溪油联宾馆</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首辅工程设计有限公司（三明市丰泽分公司）</w:t>
            </w:r>
          </w:p>
        </w:tc>
        <w:tc>
          <w:tcPr>
            <w:tcW w:w="6565" w:type="dxa"/>
            <w:vAlign w:val="center"/>
          </w:tcPr>
          <w:p>
            <w:pPr>
              <w:pStyle w:val="7"/>
              <w:widowControl/>
              <w:tabs>
                <w:tab w:val="center" w:pos="4153"/>
                <w:tab w:val="right" w:pos="8306"/>
              </w:tabs>
              <w:snapToGrid w:val="0"/>
              <w:spacing w:beforeAutospacing="0" w:afterAutospacing="0"/>
              <w:rPr>
                <w:rFonts w:eastAsia="宋体"/>
                <w:sz w:val="20"/>
                <w:szCs w:val="20"/>
              </w:rPr>
            </w:pPr>
            <w:r>
              <w:rPr>
                <w:rFonts w:hint="eastAsia" w:eastAsia="宋体"/>
                <w:sz w:val="20"/>
                <w:szCs w:val="20"/>
              </w:rPr>
              <w:t>1.所检报告均无抗震鉴定;                                        2.所检报告均无加盖一级结构注册章;                              3.所检报告均有出现建筑和结构图不一致，建筑结构图和立面照片不一致现象。                                                          4.报告中未体现屋顶加层。                                         5.未按现行《民用建筑可靠性鉴定标准》要求进行构件和子单元的评级;              6.所检项目均为无设计图项目，现场构件检测数量和检测项目均远远不足以支撑整栋建筑的承载力验算，                                     7.所检报告中，各建筑侧向位移检测点偏少，无法判定建筑是否出现倾斜等异常现象。</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鉴定报告退回，重新委托鉴定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尤溪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40</w:t>
            </w:r>
          </w:p>
        </w:tc>
        <w:tc>
          <w:tcPr>
            <w:tcW w:w="123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尤溪县日月星宾馆</w:t>
            </w:r>
          </w:p>
        </w:tc>
        <w:tc>
          <w:tcPr>
            <w:tcW w:w="1215"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首辅工程设计有限公司（三明市丰泽分公司）</w:t>
            </w:r>
          </w:p>
        </w:tc>
        <w:tc>
          <w:tcPr>
            <w:tcW w:w="6565" w:type="dxa"/>
            <w:vAlign w:val="center"/>
          </w:tcPr>
          <w:p>
            <w:pPr>
              <w:pStyle w:val="7"/>
              <w:widowControl/>
              <w:tabs>
                <w:tab w:val="center" w:pos="4153"/>
                <w:tab w:val="right" w:pos="8306"/>
              </w:tabs>
              <w:snapToGrid w:val="0"/>
              <w:spacing w:beforeAutospacing="0" w:afterAutospacing="0"/>
              <w:rPr>
                <w:rFonts w:eastAsia="宋体"/>
                <w:sz w:val="20"/>
                <w:szCs w:val="20"/>
              </w:rPr>
            </w:pPr>
            <w:r>
              <w:rPr>
                <w:rFonts w:hint="eastAsia" w:eastAsia="宋体"/>
                <w:sz w:val="20"/>
                <w:szCs w:val="20"/>
              </w:rPr>
              <w:t>1.所检报告均无抗震鉴定;                                        2.所检报告均无加盖一级结构注册章;                                       3.所检报告均有出现建筑和结构图不一致，建筑结构图和立面照片不一致现象。                                                              4.为高层项目，但未采用高层建筑结构相关规范进行鉴定。                        5.未按现行《民用建筑可靠性鉴定标准》要求进行构件和子单元的评级;                  6.所检项目均为无设计图项目，现场构件检测数量和检测项目均远远不足以支撑整栋建筑的承载力验算，                                                7.所检报告中，各建筑侧向位移检测点偏少，无法判定建筑是否出现倾斜等异常现象。</w:t>
            </w:r>
          </w:p>
        </w:tc>
        <w:tc>
          <w:tcPr>
            <w:tcW w:w="1789" w:type="dxa"/>
            <w:vAlign w:val="center"/>
          </w:tcPr>
          <w:p>
            <w:pPr>
              <w:pStyle w:val="7"/>
              <w:widowControl/>
              <w:tabs>
                <w:tab w:val="center" w:pos="4153"/>
                <w:tab w:val="right" w:pos="8306"/>
              </w:tabs>
              <w:snapToGrid w:val="0"/>
              <w:spacing w:beforeAutospacing="0" w:afterAutospacing="0"/>
              <w:jc w:val="center"/>
              <w:rPr>
                <w:rFonts w:eastAsia="宋体"/>
                <w:sz w:val="20"/>
                <w:szCs w:val="20"/>
              </w:rPr>
            </w:pPr>
            <w:r>
              <w:rPr>
                <w:rFonts w:hint="eastAsia" w:eastAsia="宋体"/>
                <w:sz w:val="20"/>
                <w:szCs w:val="20"/>
              </w:rPr>
              <w:t>鉴定报告退回，重新委托鉴定</w:t>
            </w:r>
          </w:p>
        </w:tc>
        <w:tc>
          <w:tcPr>
            <w:tcW w:w="1719" w:type="dxa"/>
            <w:vAlign w:val="center"/>
          </w:tcPr>
          <w:p>
            <w:pPr>
              <w:pStyle w:val="7"/>
              <w:widowControl/>
              <w:tabs>
                <w:tab w:val="center" w:pos="4153"/>
                <w:tab w:val="right" w:pos="8306"/>
              </w:tabs>
              <w:snapToGrid w:val="0"/>
              <w:spacing w:beforeAutospacing="0" w:afterAutospacing="0" w:line="320" w:lineRule="exact"/>
              <w:jc w:val="center"/>
              <w:rPr>
                <w:rFonts w:eastAsia="宋体"/>
                <w:sz w:val="20"/>
                <w:szCs w:val="20"/>
              </w:rPr>
            </w:pPr>
            <w:r>
              <w:rPr>
                <w:rFonts w:hint="eastAsia" w:eastAsia="宋体"/>
                <w:sz w:val="20"/>
                <w:szCs w:val="20"/>
              </w:rPr>
              <w:t>尤溪</w:t>
            </w:r>
          </w:p>
        </w:tc>
      </w:tr>
    </w:tbl>
    <w:p>
      <w:pPr>
        <w:pStyle w:val="7"/>
        <w:widowControl/>
        <w:tabs>
          <w:tab w:val="center" w:pos="4153"/>
          <w:tab w:val="right" w:pos="8306"/>
        </w:tabs>
        <w:snapToGrid w:val="0"/>
        <w:spacing w:beforeAutospacing="0" w:afterAutospacing="0" w:line="320" w:lineRule="exact"/>
        <w:jc w:val="center"/>
        <w:rPr>
          <w:rFonts w:eastAsia="宋体"/>
          <w:sz w:val="20"/>
          <w:szCs w:val="20"/>
        </w:rPr>
      </w:pPr>
    </w:p>
    <w:sectPr>
      <w:headerReference r:id="rId3" w:type="first"/>
      <w:footerReference r:id="rId4" w:type="default"/>
      <w:pgSz w:w="16838" w:h="11906" w:orient="landscape"/>
      <w:pgMar w:top="1531" w:right="1985" w:bottom="1531" w:left="1871" w:header="851" w:footer="1588" w:gutter="0"/>
      <w:cols w:space="720" w:num="1"/>
      <w:titlePg/>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snapToGrid/>
      <w:ind w:left="310" w:leftChars="100" w:right="310" w:rightChars="100"/>
      <w:rPr>
        <w:rStyle w:val="9"/>
        <w:rFonts w:ascii="宋体" w:hAnsi="宋体" w:eastAsia="宋体"/>
        <w:sz w:val="28"/>
        <w:szCs w:val="28"/>
      </w:rPr>
    </w:pPr>
    <w:r>
      <w:rPr>
        <w:rStyle w:val="9"/>
        <w:rFonts w:hint="eastAsia" w:ascii="宋体" w:hAnsi="宋体" w:eastAsia="宋体"/>
        <w:sz w:val="28"/>
        <w:szCs w:val="28"/>
      </w:rPr>
      <w:t xml:space="preserve">— </w:t>
    </w:r>
    <w:r>
      <w:rPr>
        <w:rFonts w:eastAsia="宋体"/>
        <w:sz w:val="28"/>
        <w:szCs w:val="28"/>
      </w:rPr>
      <w:fldChar w:fldCharType="begin"/>
    </w:r>
    <w:r>
      <w:rPr>
        <w:rStyle w:val="9"/>
        <w:rFonts w:ascii="宋体" w:hAnsi="宋体" w:eastAsia="宋体"/>
        <w:sz w:val="28"/>
        <w:szCs w:val="28"/>
      </w:rPr>
      <w:instrText xml:space="preserve">PAGE  </w:instrText>
    </w:r>
    <w:r>
      <w:rPr>
        <w:rFonts w:eastAsia="宋体"/>
        <w:sz w:val="28"/>
        <w:szCs w:val="28"/>
      </w:rPr>
      <w:fldChar w:fldCharType="separate"/>
    </w:r>
    <w:r>
      <w:rPr>
        <w:rStyle w:val="9"/>
        <w:rFonts w:ascii="宋体" w:hAnsi="宋体" w:eastAsia="宋体"/>
        <w:sz w:val="28"/>
        <w:szCs w:val="28"/>
      </w:rPr>
      <w:t>3</w:t>
    </w:r>
    <w:r>
      <w:rPr>
        <w:rFonts w:eastAsia="宋体"/>
        <w:sz w:val="28"/>
        <w:szCs w:val="28"/>
      </w:rPr>
      <w:fldChar w:fldCharType="end"/>
    </w:r>
    <w:r>
      <w:rPr>
        <w:rStyle w:val="9"/>
        <w:rFonts w:hint="eastAsia" w:ascii="宋体" w:hAnsi="宋体" w:eastAsia="宋体"/>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橄もψϞЃ찔ㅕ"/>
  </w:docVars>
  <w:rsids>
    <w:rsidRoot w:val="123C1B27"/>
    <w:rsid w:val="00047FE3"/>
    <w:rsid w:val="00061BC1"/>
    <w:rsid w:val="00070B95"/>
    <w:rsid w:val="00075CBA"/>
    <w:rsid w:val="0008427A"/>
    <w:rsid w:val="000A4FAA"/>
    <w:rsid w:val="000A557B"/>
    <w:rsid w:val="000D5AD0"/>
    <w:rsid w:val="000F6139"/>
    <w:rsid w:val="00104DDD"/>
    <w:rsid w:val="0011482E"/>
    <w:rsid w:val="00170756"/>
    <w:rsid w:val="00173260"/>
    <w:rsid w:val="00180606"/>
    <w:rsid w:val="00190CF5"/>
    <w:rsid w:val="001F48F1"/>
    <w:rsid w:val="00207CE5"/>
    <w:rsid w:val="00216E9E"/>
    <w:rsid w:val="0024120E"/>
    <w:rsid w:val="002423A7"/>
    <w:rsid w:val="00261346"/>
    <w:rsid w:val="00264883"/>
    <w:rsid w:val="00274203"/>
    <w:rsid w:val="002749A0"/>
    <w:rsid w:val="00281B6D"/>
    <w:rsid w:val="002C08A5"/>
    <w:rsid w:val="002D4DB8"/>
    <w:rsid w:val="002F6BC7"/>
    <w:rsid w:val="00327587"/>
    <w:rsid w:val="003530E9"/>
    <w:rsid w:val="00367219"/>
    <w:rsid w:val="0037368E"/>
    <w:rsid w:val="003851E5"/>
    <w:rsid w:val="0039191F"/>
    <w:rsid w:val="003B450D"/>
    <w:rsid w:val="003B7A7A"/>
    <w:rsid w:val="003C32A2"/>
    <w:rsid w:val="003C3C92"/>
    <w:rsid w:val="003D30BB"/>
    <w:rsid w:val="003E000C"/>
    <w:rsid w:val="003F5C76"/>
    <w:rsid w:val="00416DAE"/>
    <w:rsid w:val="004343BD"/>
    <w:rsid w:val="00443149"/>
    <w:rsid w:val="0048189B"/>
    <w:rsid w:val="004A5152"/>
    <w:rsid w:val="004B58F6"/>
    <w:rsid w:val="004E3AB7"/>
    <w:rsid w:val="005021A9"/>
    <w:rsid w:val="00510044"/>
    <w:rsid w:val="005162B4"/>
    <w:rsid w:val="00543253"/>
    <w:rsid w:val="0054663B"/>
    <w:rsid w:val="00565A4A"/>
    <w:rsid w:val="00570B53"/>
    <w:rsid w:val="00590401"/>
    <w:rsid w:val="005A46A5"/>
    <w:rsid w:val="005A7B5E"/>
    <w:rsid w:val="005B44D4"/>
    <w:rsid w:val="005D374A"/>
    <w:rsid w:val="005F5C74"/>
    <w:rsid w:val="005F6D32"/>
    <w:rsid w:val="006030F5"/>
    <w:rsid w:val="00607490"/>
    <w:rsid w:val="00617DEE"/>
    <w:rsid w:val="00642F30"/>
    <w:rsid w:val="00666F17"/>
    <w:rsid w:val="00672FE7"/>
    <w:rsid w:val="006753F9"/>
    <w:rsid w:val="006C246B"/>
    <w:rsid w:val="006D557F"/>
    <w:rsid w:val="00711122"/>
    <w:rsid w:val="00774274"/>
    <w:rsid w:val="0077599E"/>
    <w:rsid w:val="007860EA"/>
    <w:rsid w:val="00790635"/>
    <w:rsid w:val="007A6FC2"/>
    <w:rsid w:val="007E39B8"/>
    <w:rsid w:val="007E741B"/>
    <w:rsid w:val="00855531"/>
    <w:rsid w:val="008750FF"/>
    <w:rsid w:val="00896362"/>
    <w:rsid w:val="008C4CA4"/>
    <w:rsid w:val="008D68F9"/>
    <w:rsid w:val="008F0C65"/>
    <w:rsid w:val="00903E7D"/>
    <w:rsid w:val="00962FE2"/>
    <w:rsid w:val="00963EFD"/>
    <w:rsid w:val="0097561C"/>
    <w:rsid w:val="00975BC4"/>
    <w:rsid w:val="00984CDE"/>
    <w:rsid w:val="009A23AF"/>
    <w:rsid w:val="009B0830"/>
    <w:rsid w:val="009B296E"/>
    <w:rsid w:val="009C59A0"/>
    <w:rsid w:val="00A53355"/>
    <w:rsid w:val="00A56FCE"/>
    <w:rsid w:val="00A627D2"/>
    <w:rsid w:val="00A72356"/>
    <w:rsid w:val="00A81631"/>
    <w:rsid w:val="00B16EEE"/>
    <w:rsid w:val="00B27549"/>
    <w:rsid w:val="00B33D4C"/>
    <w:rsid w:val="00B50E7D"/>
    <w:rsid w:val="00B943A1"/>
    <w:rsid w:val="00BB7B27"/>
    <w:rsid w:val="00BF035D"/>
    <w:rsid w:val="00C0060F"/>
    <w:rsid w:val="00C440BC"/>
    <w:rsid w:val="00C51E26"/>
    <w:rsid w:val="00C61A53"/>
    <w:rsid w:val="00C8763D"/>
    <w:rsid w:val="00CC1704"/>
    <w:rsid w:val="00CC3E9B"/>
    <w:rsid w:val="00CD71AE"/>
    <w:rsid w:val="00CF1CE5"/>
    <w:rsid w:val="00CF4A04"/>
    <w:rsid w:val="00D10B90"/>
    <w:rsid w:val="00D1206C"/>
    <w:rsid w:val="00D21678"/>
    <w:rsid w:val="00DA00C2"/>
    <w:rsid w:val="00DD1F62"/>
    <w:rsid w:val="00DE4F79"/>
    <w:rsid w:val="00E27CEB"/>
    <w:rsid w:val="00E41BBE"/>
    <w:rsid w:val="00E45C22"/>
    <w:rsid w:val="00E8469D"/>
    <w:rsid w:val="00EB35F8"/>
    <w:rsid w:val="00EC03C1"/>
    <w:rsid w:val="00EF2156"/>
    <w:rsid w:val="00F14A5C"/>
    <w:rsid w:val="00F22F01"/>
    <w:rsid w:val="00F23D06"/>
    <w:rsid w:val="00F94526"/>
    <w:rsid w:val="00FA11D5"/>
    <w:rsid w:val="00FE588C"/>
    <w:rsid w:val="00FF5868"/>
    <w:rsid w:val="01FF635A"/>
    <w:rsid w:val="039059C7"/>
    <w:rsid w:val="05206C1A"/>
    <w:rsid w:val="123C1B27"/>
    <w:rsid w:val="13935F59"/>
    <w:rsid w:val="13C50F53"/>
    <w:rsid w:val="1A4F1A52"/>
    <w:rsid w:val="26BC374E"/>
    <w:rsid w:val="3298131D"/>
    <w:rsid w:val="359C187A"/>
    <w:rsid w:val="3B3825A4"/>
    <w:rsid w:val="46317EB5"/>
    <w:rsid w:val="49AD3738"/>
    <w:rsid w:val="5A0354BA"/>
    <w:rsid w:val="5CF35248"/>
    <w:rsid w:val="5D1C0BA6"/>
    <w:rsid w:val="607B5B17"/>
    <w:rsid w:val="6A935DD6"/>
    <w:rsid w:val="74D252CC"/>
    <w:rsid w:val="7F9F3B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宋体" w:hAnsi="宋体" w:eastAsia="仿宋_GB2312" w:cs="Times New Roman"/>
      <w:kern w:val="2"/>
      <w:sz w:val="31"/>
      <w:szCs w:val="31"/>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Normal Indent"/>
    <w:basedOn w:val="1"/>
    <w:qFormat/>
    <w:uiPriority w:val="0"/>
    <w:pPr>
      <w:ind w:firstLine="420" w:firstLineChars="200"/>
    </w:pPr>
  </w:style>
  <w:style w:type="paragraph" w:styleId="4">
    <w:name w:val="Body Text Indent"/>
    <w:basedOn w:val="1"/>
    <w:next w:val="3"/>
    <w:link w:val="16"/>
    <w:uiPriority w:val="0"/>
    <w:pPr>
      <w:adjustRightInd/>
      <w:ind w:firstLine="640" w:firstLineChars="200"/>
    </w:pPr>
    <w:rPr>
      <w:rFonts w:ascii="仿宋_GB2312" w:hAnsi="Times New Roman" w:eastAsia="宋体"/>
      <w:sz w:val="21"/>
      <w:szCs w:val="24"/>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rPr>
      <w:rFonts w:ascii="Tahoma" w:hAnsi="Tahoma" w:cs="宋体"/>
      <w:sz w:val="24"/>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basedOn w:val="8"/>
    <w:link w:val="5"/>
    <w:qFormat/>
    <w:uiPriority w:val="0"/>
    <w:rPr>
      <w:rFonts w:ascii="宋体" w:hAnsi="宋体" w:eastAsia="仿宋_GB2312" w:cs="Times New Roman"/>
      <w:sz w:val="18"/>
      <w:szCs w:val="18"/>
    </w:rPr>
  </w:style>
  <w:style w:type="paragraph" w:customStyle="1" w:styleId="13">
    <w:name w:val="Char Char Char Char Char Char Char Char Char Char"/>
    <w:basedOn w:val="1"/>
    <w:qFormat/>
    <w:uiPriority w:val="0"/>
    <w:rPr>
      <w:rFonts w:ascii="Tahoma" w:hAnsi="Tahoma" w:cs="宋体"/>
      <w:sz w:val="24"/>
      <w:szCs w:val="32"/>
    </w:rPr>
  </w:style>
  <w:style w:type="character" w:customStyle="1" w:styleId="14">
    <w:name w:val="页眉 Char"/>
    <w:basedOn w:val="8"/>
    <w:link w:val="6"/>
    <w:qFormat/>
    <w:uiPriority w:val="0"/>
    <w:rPr>
      <w:rFonts w:ascii="宋体" w:hAnsi="宋体" w:eastAsia="仿宋_GB2312" w:cs="Times New Roman"/>
      <w:sz w:val="18"/>
      <w:szCs w:val="18"/>
    </w:rPr>
  </w:style>
  <w:style w:type="paragraph" w:customStyle="1" w:styleId="15">
    <w:name w:val="Defaul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character" w:customStyle="1" w:styleId="16">
    <w:name w:val="正文文本缩进 Char"/>
    <w:basedOn w:val="8"/>
    <w:link w:val="4"/>
    <w:qFormat/>
    <w:uiPriority w:val="0"/>
    <w:rPr>
      <w:rFonts w:ascii="仿宋_GB2312"/>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9977;&#26126;&#24066;&#20303;&#25151;&#21644;&#22478;&#20065;&#24314;&#35774;&#23616;&#21150;&#20844;&#23460;&#20851;&#20110;&#36827;&#19968;&#27493;&#21152;&#24378;&#25151;&#23627;&#24066;&#25919;&#24037;&#31243;&#23433;&#20840;&#29983;&#20135;&#24037;&#20316;&#30340;&#36890;&#30693;%20%20&#26126;&#24314;&#21150;&#20989;&#12308;2021&#1230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三明市住房和城乡建设局办公室关于进一步加强房屋市政工程安全生产工作的通知  明建办函〔2021〕号</Template>
  <Company>Microsoft</Company>
  <Pages>1</Pages>
  <Words>2278</Words>
  <Characters>12985</Characters>
  <Lines>108</Lines>
  <Paragraphs>30</Paragraphs>
  <TotalTime>512</TotalTime>
  <ScaleCrop>false</ScaleCrop>
  <LinksUpToDate>false</LinksUpToDate>
  <CharactersWithSpaces>15233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2023-10-07T03:38:00Z</dcterms:created>
  <dc:creator>东伦敦告罪</dc:creator>
  <cp:lastModifiedBy>林惠芬</cp:lastModifiedBy>
  <cp:lastPrinted>2023-10-11T07:08:00Z</cp:lastPrinted>
  <dcterms:modified xsi:type="dcterms:W3CDTF">2023-10-13T07:26:19Z</dcterms:modified>
  <dc:title>通  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941FE927ED1941A7BD5B57519988EB52</vt:lpwstr>
  </property>
</Properties>
</file>