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50A1">
      <w:pPr>
        <w:jc w:val="center"/>
        <w:rPr>
          <w:rFonts w:ascii="方正小标宋简体" w:eastAsia="方正小标宋简体"/>
          <w:sz w:val="32"/>
          <w:szCs w:val="32"/>
        </w:rPr>
      </w:pPr>
      <w:r>
        <w:rPr>
          <w:rFonts w:hint="eastAsia" w:ascii="方正小标宋简体" w:eastAsia="方正小标宋简体"/>
          <w:sz w:val="32"/>
          <w:szCs w:val="32"/>
        </w:rPr>
        <w:t>三明市区城市基础设施配套费征收管理规定</w:t>
      </w:r>
    </w:p>
    <w:p w14:paraId="3DC9F56B">
      <w:pPr>
        <w:spacing w:line="560" w:lineRule="exact"/>
        <w:ind w:firstLine="2370" w:firstLineChars="750"/>
        <w:rPr>
          <w:rFonts w:ascii="仿宋_GB2312"/>
          <w:sz w:val="32"/>
          <w:szCs w:val="32"/>
        </w:rPr>
      </w:pPr>
      <w:r>
        <w:rPr>
          <w:rFonts w:hint="eastAsia" w:ascii="仿宋_GB2312"/>
          <w:sz w:val="32"/>
          <w:szCs w:val="32"/>
        </w:rPr>
        <w:t xml:space="preserve">    （征求意见稿）</w:t>
      </w:r>
    </w:p>
    <w:p w14:paraId="25EB8850">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sz w:val="32"/>
          <w:szCs w:val="32"/>
        </w:rPr>
        <w:t>根据福建省人民政府闽政[2002]53号“关于印发福建省城市基础设施配套</w:t>
      </w:r>
      <w:r>
        <w:rPr>
          <w:rFonts w:hint="eastAsia" w:ascii="仿宋_GB2312"/>
          <w:color w:val="000000" w:themeColor="text1"/>
          <w:sz w:val="32"/>
          <w:szCs w:val="32"/>
          <w14:textFill>
            <w14:solidFill>
              <w14:schemeClr w14:val="tx1"/>
            </w14:solidFill>
          </w14:textFill>
        </w:rPr>
        <w:t>费征收管理规定的通知”精神，结合市区城市建设的实际情况，现对本市三元区城市基础设施配套费征收管理办法规定如下:</w:t>
      </w:r>
    </w:p>
    <w:p w14:paraId="67E5B5BF">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第一条 凡在我市国土空间规划体检评估确定的三元区城区</w:t>
      </w:r>
      <w:r>
        <w:rPr>
          <w:rFonts w:ascii="仿宋_GB2312"/>
          <w:color w:val="000000" w:themeColor="text1"/>
          <w:sz w:val="32"/>
          <w:szCs w:val="32"/>
          <w14:textFill>
            <w14:solidFill>
              <w14:schemeClr w14:val="tx1"/>
            </w14:solidFill>
          </w14:textFill>
        </w:rPr>
        <w:t>范围内</w:t>
      </w:r>
      <w:r>
        <w:rPr>
          <w:rFonts w:hint="eastAsia" w:ascii="仿宋_GB2312"/>
          <w:color w:val="000000" w:themeColor="text1"/>
          <w:sz w:val="32"/>
          <w:szCs w:val="32"/>
          <w14:textFill>
            <w14:solidFill>
              <w14:schemeClr w14:val="tx1"/>
            </w14:solidFill>
          </w14:textFill>
        </w:rPr>
        <w:t>进行各类工程建设（包括新建、扩建和改建）的单位和个人，均应按本规定缴交城市基础设施配套费（以下简称“配套费”）。</w:t>
      </w:r>
    </w:p>
    <w:p w14:paraId="4EC9DA82">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第二条 配套费主要用于建设项目以外的市政公用配套设施建设和维护，是市政基础设施建设资金的补充,与其他城建资金统筹安排使用。配套费由市住房和城乡建设行政主管部门会同市城市管理、市财政行政主管部门编制年度资金使用计划，报市人民政府批准后实施。未经市政府批准，不得调整配套费年度使用计划。</w:t>
      </w:r>
    </w:p>
    <w:p w14:paraId="5B1236A2">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第三条 </w:t>
      </w:r>
      <w:r>
        <w:rPr>
          <w:rFonts w:hint="eastAsia" w:ascii="仿宋_GB2312"/>
          <w:color w:val="FF0000"/>
          <w:sz w:val="32"/>
          <w:szCs w:val="32"/>
        </w:rPr>
        <w:t>新建项目的配套费按建设工程规划许可证核准的总建筑面积（计容建筑面积、不计容建筑面积</w:t>
      </w:r>
      <w:r>
        <w:rPr>
          <w:rFonts w:hint="eastAsia" w:ascii="仿宋_GB2312"/>
          <w:color w:val="FF0000"/>
          <w:sz w:val="32"/>
          <w:szCs w:val="32"/>
          <w:lang w:eastAsia="zh-CN"/>
        </w:rPr>
        <w:t>的总和</w:t>
      </w:r>
      <w:r>
        <w:rPr>
          <w:rFonts w:hint="eastAsia" w:ascii="仿宋_GB2312"/>
          <w:color w:val="FF0000"/>
          <w:sz w:val="32"/>
          <w:szCs w:val="32"/>
        </w:rPr>
        <w:t>）征收；</w:t>
      </w:r>
      <w:r>
        <w:rPr>
          <w:rFonts w:hint="eastAsia" w:ascii="仿宋_GB2312"/>
          <w:color w:val="000000" w:themeColor="text1"/>
          <w:sz w:val="32"/>
          <w:szCs w:val="32"/>
          <w14:textFill>
            <w14:solidFill>
              <w14:schemeClr w14:val="tx1"/>
            </w14:solidFill>
          </w14:textFill>
        </w:rPr>
        <w:t>扩建、改建项目的配套费按新增建筑面积征收。对容积率小于1的建设项目，配套费按容积率为1的总建筑面积征收；容积率大于4的建设项目，配套费按容积率为4的总建筑面积征收。配套费实行一次性缴纳，由市住房和城乡建设行政主管部门确定具体承办机构，指定专人负责征管工作。</w:t>
      </w:r>
    </w:p>
    <w:p w14:paraId="0081E56C">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对以招标、拍卖、挂牌交易方式出让土地的建设项目，土地出让价格中已包含配套费的，配套费的具体额度按照容积率折算成建筑面积，结合征收标准测算。土地出让后，应将配套费缴入市级金库，专项用于城市市政基础设施建设。实际容积率超过拍卖时确定额度的部分，应按规定补交。</w:t>
      </w:r>
    </w:p>
    <w:p w14:paraId="0C70DFB7">
      <w:pPr>
        <w:keepNext w:val="0"/>
        <w:keepLines w:val="0"/>
        <w:widowControl/>
        <w:suppressLineNumbers w:val="0"/>
        <w:ind w:firstLine="632" w:firstLineChars="200"/>
        <w:jc w:val="both"/>
      </w:pPr>
      <w:r>
        <w:rPr>
          <w:rFonts w:hint="eastAsia" w:ascii="仿宋_GB2312"/>
          <w:color w:val="000000" w:themeColor="text1"/>
          <w:sz w:val="32"/>
          <w:szCs w:val="32"/>
          <w14:textFill>
            <w14:solidFill>
              <w14:schemeClr w14:val="tx1"/>
            </w14:solidFill>
          </w14:textFill>
        </w:rPr>
        <w:t xml:space="preserve">第四条 </w:t>
      </w:r>
      <w:r>
        <w:rPr>
          <w:rFonts w:ascii="仿宋_GB2312" w:hAnsi="宋体" w:eastAsia="仿宋_GB2312" w:cs="仿宋_GB2312"/>
          <w:color w:val="000000"/>
          <w:kern w:val="0"/>
          <w:sz w:val="31"/>
          <w:szCs w:val="31"/>
          <w:lang w:val="en-US" w:eastAsia="zh-CN" w:bidi="ar"/>
        </w:rPr>
        <w:t>城市规划区内土地划分为三个类</w:t>
      </w:r>
      <w:r>
        <w:rPr>
          <w:rFonts w:hint="eastAsia" w:ascii="仿宋_GB2312" w:eastAsia="仿宋_GB2312" w:cs="仿宋_GB2312"/>
          <w:color w:val="000000"/>
          <w:sz w:val="31"/>
          <w:szCs w:val="31"/>
        </w:rPr>
        <w:t>区，与自然资源部门牵头编制并经市政府同意发布的三明市区城镇土地级别相衔接，具体划分为：</w:t>
      </w:r>
    </w:p>
    <w:p w14:paraId="66B9B464">
      <w:pPr>
        <w:pStyle w:val="6"/>
        <w:keepNext w:val="0"/>
        <w:keepLines w:val="0"/>
        <w:widowControl/>
        <w:suppressLineNumbers w:val="0"/>
        <w:ind w:left="0" w:firstLine="640"/>
      </w:pPr>
      <w:r>
        <w:rPr>
          <w:rFonts w:hint="eastAsia" w:ascii="仿宋_GB2312" w:eastAsia="仿宋_GB2312" w:cs="仿宋_GB2312"/>
          <w:color w:val="000000"/>
          <w:sz w:val="31"/>
          <w:szCs w:val="31"/>
        </w:rPr>
        <w:t>一类区（一级地段）：商服用地土地级别Ⅰ、Ⅱ、Ⅲ类地范围；住宅用地土地级别Ⅰ、Ⅱ、Ⅲ类地范围；工矿仓储（工业、仓储）用地土地级别Ⅰ、Ⅱ类地范围；公共管理与公共服务用地土地级别  Ⅰ、</w:t>
      </w:r>
      <w:r>
        <w:t> </w:t>
      </w:r>
      <w:r>
        <w:rPr>
          <w:rFonts w:hint="eastAsia" w:ascii="仿宋_GB2312" w:eastAsia="仿宋_GB2312" w:cs="仿宋_GB2312"/>
          <w:color w:val="000000"/>
          <w:sz w:val="31"/>
          <w:szCs w:val="31"/>
        </w:rPr>
        <w:t>Ⅱ、Ⅲ类地范围。</w:t>
      </w:r>
    </w:p>
    <w:p w14:paraId="0333F1E4">
      <w:pPr>
        <w:pStyle w:val="6"/>
        <w:keepNext w:val="0"/>
        <w:keepLines w:val="0"/>
        <w:widowControl/>
        <w:suppressLineNumbers w:val="0"/>
        <w:ind w:left="0" w:firstLine="640"/>
      </w:pPr>
      <w:r>
        <w:rPr>
          <w:rFonts w:hint="eastAsia" w:ascii="仿宋_GB2312" w:eastAsia="仿宋_GB2312" w:cs="仿宋_GB2312"/>
          <w:color w:val="000000"/>
          <w:sz w:val="31"/>
          <w:szCs w:val="31"/>
        </w:rPr>
        <w:t>二类区（二级地段）：商服用地土地级别Ⅳ类地范围；住宅用地土地级别Ⅳ类地范围；工矿仓储（工业、仓储）用地土地级别Ⅲ类地范围；公共管理与公共服务用地土地级别Ⅳ类地范围。</w:t>
      </w:r>
    </w:p>
    <w:p w14:paraId="504E7F2D">
      <w:pPr>
        <w:pStyle w:val="6"/>
        <w:keepNext w:val="0"/>
        <w:keepLines w:val="0"/>
        <w:widowControl/>
        <w:suppressLineNumbers w:val="0"/>
        <w:ind w:left="0" w:firstLine="640"/>
      </w:pPr>
      <w:r>
        <w:rPr>
          <w:rFonts w:hint="eastAsia" w:ascii="仿宋_GB2312" w:eastAsia="仿宋_GB2312" w:cs="仿宋_GB2312"/>
          <w:color w:val="000000"/>
          <w:sz w:val="31"/>
          <w:szCs w:val="31"/>
        </w:rPr>
        <w:t>三类区（三级地段）：商服用地土地级别Ⅴ类地范围；住宅用地土地级别Ⅴ类地范围；工矿仓储（工业、仓储）用地土地级别Ⅳ类地范围；公共管理与公共服务用地土地级别Ⅴ类地范围；交通服务场站、殡葬用地；除一、二类区以外的乡镇。</w:t>
      </w:r>
    </w:p>
    <w:p w14:paraId="63D9F8BD">
      <w:pPr>
        <w:pStyle w:val="6"/>
        <w:keepNext w:val="0"/>
        <w:keepLines w:val="0"/>
        <w:widowControl/>
        <w:suppressLineNumbers w:val="0"/>
        <w:ind w:left="0" w:firstLine="640"/>
      </w:pPr>
      <w:r>
        <w:rPr>
          <w:rFonts w:hint="eastAsia" w:ascii="仿宋_GB2312" w:eastAsia="仿宋_GB2312" w:cs="仿宋_GB2312"/>
          <w:color w:val="000000"/>
          <w:sz w:val="31"/>
          <w:szCs w:val="31"/>
        </w:rPr>
        <w:t>涉及跨越不同类区的项目，城市基础设施配套费按建筑所跨类区实际面积计算征收。</w:t>
      </w:r>
    </w:p>
    <w:p w14:paraId="0EB001BF">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第五条 配套费征收标准详见附件1。</w:t>
      </w:r>
    </w:p>
    <w:p w14:paraId="41DBB718">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第六条 配套费免征、减征范围：                                  </w:t>
      </w:r>
    </w:p>
    <w:p w14:paraId="10397827">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（一）军事设施（含武警部队设施）、市政公用设施（含城市停车场建设项目、</w:t>
      </w:r>
      <w:r>
        <w:rPr>
          <w:rFonts w:hint="eastAsia" w:ascii="仿宋_GB2312"/>
          <w:color w:val="FF0000"/>
          <w:sz w:val="32"/>
          <w:szCs w:val="32"/>
        </w:rPr>
        <w:t>供水、燃气、公共交通、污水、垃圾处理设施用房等建设项目</w:t>
      </w:r>
      <w:r>
        <w:rPr>
          <w:rFonts w:hint="eastAsia" w:ascii="仿宋_GB2312"/>
          <w:color w:val="000000" w:themeColor="text1"/>
          <w:sz w:val="32"/>
          <w:szCs w:val="32"/>
          <w14:textFill>
            <w14:solidFill>
              <w14:schemeClr w14:val="tx1"/>
            </w14:solidFill>
          </w14:textFill>
        </w:rPr>
        <w:t>）、单建式人防工程、经济适用住房、公共租赁住房、工业生产性项目以及经市人民政府确认或批准的由社会各界捐建的学校、图书馆、</w:t>
      </w:r>
      <w:r>
        <w:rPr>
          <w:rFonts w:hint="eastAsia" w:ascii="仿宋_GB2312"/>
          <w:color w:val="FF0000"/>
          <w:sz w:val="32"/>
          <w:szCs w:val="32"/>
          <w:lang w:eastAsia="zh-CN"/>
        </w:rPr>
        <w:t>儿童福利机构、养老服务机构、长者食堂、公益性殡葬服务机构及安葬安放设施</w:t>
      </w:r>
      <w:r>
        <w:rPr>
          <w:rFonts w:hint="eastAsia" w:ascii="仿宋_GB2312"/>
          <w:color w:val="000000" w:themeColor="text1"/>
          <w:sz w:val="32"/>
          <w:szCs w:val="32"/>
          <w14:textFill>
            <w14:solidFill>
              <w14:schemeClr w14:val="tx1"/>
            </w14:solidFill>
          </w14:textFill>
        </w:rPr>
        <w:t>等社会公益事业建设项目免征。</w:t>
      </w:r>
    </w:p>
    <w:p w14:paraId="3FF1B8C3">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二</w:t>
      </w:r>
      <w:r>
        <w:rPr>
          <w:rFonts w:hint="eastAsia" w:ascii="仿宋_GB2312"/>
          <w:color w:val="000000" w:themeColor="text1"/>
          <w:sz w:val="32"/>
          <w:szCs w:val="32"/>
          <w14:textFill>
            <w14:solidFill>
              <w14:schemeClr w14:val="tx1"/>
            </w14:solidFill>
          </w14:textFill>
        </w:rPr>
        <w:t>）学校、医疗机构、科研等单位以及中央、省属单位和外地驻当地政府机构兴办的非经营性建设项目（不含住宅）、残疾人非经营性福利事业建设项目、经省科技主管部门认定的国家和省确定扶持的高新技术建设项目以及行政机关办公楼建设项目减半征收。</w:t>
      </w:r>
    </w:p>
    <w:p w14:paraId="096EB1F9">
      <w:pPr>
        <w:ind w:firstLine="632" w:firstLineChars="200"/>
        <w:jc w:val="left"/>
        <w:rPr>
          <w:rFonts w:hint="eastAsia" w:ascii="仿宋_GB2312" w:hAnsi="宋体" w:cs="宋体"/>
          <w:color w:val="FF0000"/>
          <w:sz w:val="32"/>
          <w:szCs w:val="32"/>
        </w:rPr>
      </w:pPr>
      <w:r>
        <w:rPr>
          <w:rFonts w:hint="eastAsia" w:ascii="仿宋_GB2312" w:hAnsi="宋体" w:cs="宋体"/>
          <w:color w:val="FF0000"/>
          <w:sz w:val="32"/>
          <w:szCs w:val="32"/>
          <w:lang w:val="en-US" w:eastAsia="zh-CN"/>
        </w:rPr>
        <w:t>（三）根据《财政部 税务总局 发展改革委 民政部 商务部 卫生健康委关于养老、托育、家政等社区家庭服务业税费优惠政策的公告》（2019年第76号）文件精神，用于提供社区养老、托育、家政服务的建设项目免征。</w:t>
      </w:r>
    </w:p>
    <w:p w14:paraId="667C4A09">
      <w:pPr>
        <w:ind w:firstLine="632" w:firstLineChars="200"/>
        <w:jc w:val="left"/>
        <w:rPr>
          <w:rFonts w:ascii="仿宋_GB2312"/>
          <w:color w:val="FF0000"/>
          <w:sz w:val="32"/>
          <w:szCs w:val="32"/>
        </w:rPr>
      </w:pPr>
      <w:r>
        <w:rPr>
          <w:rFonts w:hint="eastAsia" w:ascii="仿宋_GB2312"/>
          <w:color w:val="FF0000"/>
          <w:sz w:val="32"/>
          <w:szCs w:val="32"/>
        </w:rPr>
        <w:t>（</w:t>
      </w:r>
      <w:r>
        <w:rPr>
          <w:rFonts w:hint="eastAsia" w:ascii="仿宋_GB2312"/>
          <w:color w:val="FF0000"/>
          <w:sz w:val="32"/>
          <w:szCs w:val="32"/>
          <w:lang w:eastAsia="zh-CN"/>
        </w:rPr>
        <w:t>四</w:t>
      </w:r>
      <w:r>
        <w:rPr>
          <w:rFonts w:hint="eastAsia" w:ascii="仿宋_GB2312"/>
          <w:color w:val="FF0000"/>
          <w:sz w:val="32"/>
          <w:szCs w:val="32"/>
        </w:rPr>
        <w:t>）根据《</w:t>
      </w:r>
      <w:r>
        <w:rPr>
          <w:rFonts w:hint="eastAsia" w:ascii="仿宋_GB2312"/>
          <w:color w:val="FF0000"/>
          <w:sz w:val="32"/>
          <w:szCs w:val="32"/>
          <w:lang w:eastAsia="zh-CN"/>
        </w:rPr>
        <w:t>国务院办公厅关于保障性安居工程建设和管理的指导意见</w:t>
      </w:r>
      <w:r>
        <w:rPr>
          <w:rFonts w:hint="eastAsia" w:ascii="仿宋_GB2312"/>
          <w:color w:val="FF0000"/>
          <w:sz w:val="32"/>
          <w:szCs w:val="32"/>
        </w:rPr>
        <w:t>》（</w:t>
      </w:r>
      <w:r>
        <w:rPr>
          <w:rFonts w:hint="eastAsia" w:ascii="仿宋_GB2312"/>
          <w:color w:val="FF0000"/>
          <w:sz w:val="32"/>
          <w:szCs w:val="32"/>
          <w:lang w:eastAsia="zh-CN"/>
        </w:rPr>
        <w:t>国办发</w:t>
      </w:r>
      <w:r>
        <w:rPr>
          <w:rFonts w:hint="eastAsia" w:ascii="仿宋_GB2312"/>
          <w:color w:val="FF0000"/>
          <w:sz w:val="32"/>
          <w:szCs w:val="32"/>
        </w:rPr>
        <w:t>〔201</w:t>
      </w:r>
      <w:r>
        <w:rPr>
          <w:rFonts w:hint="eastAsia" w:ascii="仿宋_GB2312"/>
          <w:color w:val="FF0000"/>
          <w:sz w:val="32"/>
          <w:szCs w:val="32"/>
          <w:lang w:val="en-US" w:eastAsia="zh-CN"/>
        </w:rPr>
        <w:t>1</w:t>
      </w:r>
      <w:r>
        <w:rPr>
          <w:rFonts w:hint="eastAsia" w:ascii="仿宋_GB2312"/>
          <w:color w:val="FF0000"/>
          <w:sz w:val="32"/>
          <w:szCs w:val="32"/>
        </w:rPr>
        <w:t>〕</w:t>
      </w:r>
      <w:r>
        <w:rPr>
          <w:rFonts w:hint="eastAsia" w:ascii="仿宋_GB2312"/>
          <w:color w:val="FF0000"/>
          <w:sz w:val="32"/>
          <w:szCs w:val="32"/>
          <w:lang w:val="en-US" w:eastAsia="zh-CN"/>
        </w:rPr>
        <w:t>45</w:t>
      </w:r>
      <w:r>
        <w:rPr>
          <w:rFonts w:hint="eastAsia" w:ascii="仿宋_GB2312"/>
          <w:color w:val="FF0000"/>
          <w:sz w:val="32"/>
          <w:szCs w:val="32"/>
        </w:rPr>
        <w:t>号）</w:t>
      </w:r>
      <w:r>
        <w:rPr>
          <w:rFonts w:hint="eastAsia" w:ascii="仿宋_GB2312"/>
          <w:color w:val="FF0000"/>
          <w:sz w:val="32"/>
          <w:szCs w:val="32"/>
          <w:lang w:eastAsia="zh-CN"/>
        </w:rPr>
        <w:t>文件精神</w:t>
      </w:r>
      <w:r>
        <w:rPr>
          <w:rFonts w:hint="eastAsia" w:ascii="仿宋_GB2312"/>
          <w:color w:val="FF0000"/>
          <w:sz w:val="32"/>
          <w:szCs w:val="32"/>
        </w:rPr>
        <w:t>，</w:t>
      </w:r>
      <w:r>
        <w:rPr>
          <w:rFonts w:hint="eastAsia" w:ascii="仿宋_GB2312"/>
          <w:color w:val="FF0000"/>
          <w:sz w:val="32"/>
          <w:szCs w:val="32"/>
          <w:lang w:eastAsia="zh-CN"/>
        </w:rPr>
        <w:t>廉租住房、公共租赁住房、经济适用住房和</w:t>
      </w:r>
      <w:r>
        <w:rPr>
          <w:rFonts w:hint="eastAsia" w:ascii="仿宋_GB2312"/>
          <w:color w:val="FF0000"/>
          <w:sz w:val="32"/>
          <w:szCs w:val="32"/>
        </w:rPr>
        <w:t>列入政府实施的棚户区改造项目免征。</w:t>
      </w:r>
    </w:p>
    <w:p w14:paraId="4711DE5A">
      <w:pPr>
        <w:ind w:firstLine="632" w:firstLineChars="200"/>
        <w:jc w:val="left"/>
        <w:rPr>
          <w:rFonts w:ascii="仿宋_GB2312"/>
          <w:color w:val="FF0000"/>
          <w:sz w:val="32"/>
          <w:szCs w:val="32"/>
        </w:rPr>
      </w:pPr>
      <w:r>
        <w:rPr>
          <w:rFonts w:hint="eastAsia" w:ascii="仿宋_GB2312"/>
          <w:color w:val="FF0000"/>
          <w:sz w:val="32"/>
          <w:szCs w:val="32"/>
        </w:rPr>
        <w:t>（</w:t>
      </w:r>
      <w:r>
        <w:rPr>
          <w:rFonts w:hint="eastAsia" w:ascii="仿宋_GB2312"/>
          <w:color w:val="FF0000"/>
          <w:sz w:val="32"/>
          <w:szCs w:val="32"/>
          <w:lang w:eastAsia="zh-CN"/>
        </w:rPr>
        <w:t>五</w:t>
      </w:r>
      <w:r>
        <w:rPr>
          <w:rFonts w:hint="eastAsia" w:ascii="仿宋_GB2312"/>
          <w:color w:val="FF0000"/>
          <w:sz w:val="32"/>
          <w:szCs w:val="32"/>
        </w:rPr>
        <w:t>）根据《国务院办公厅转发教育部等部门关于建立中小学校舍安全保障长效机制意见的通知》（国办发〔2013〕103号）</w:t>
      </w:r>
      <w:r>
        <w:rPr>
          <w:rFonts w:hint="eastAsia" w:ascii="仿宋_GB2312"/>
          <w:color w:val="FF0000"/>
          <w:sz w:val="32"/>
          <w:szCs w:val="32"/>
          <w:lang w:eastAsia="zh-CN"/>
        </w:rPr>
        <w:t>文件精神</w:t>
      </w:r>
      <w:r>
        <w:rPr>
          <w:rFonts w:hint="eastAsia" w:ascii="仿宋_GB2312"/>
          <w:color w:val="FF0000"/>
          <w:sz w:val="32"/>
          <w:szCs w:val="32"/>
        </w:rPr>
        <w:t>，</w:t>
      </w:r>
      <w:r>
        <w:rPr>
          <w:rFonts w:hint="eastAsia" w:ascii="仿宋_GB2312"/>
          <w:color w:val="FF0000"/>
          <w:sz w:val="32"/>
          <w:szCs w:val="32"/>
          <w:lang w:eastAsia="zh-CN"/>
        </w:rPr>
        <w:t>中小学校舍（包括教学楼、办公楼）</w:t>
      </w:r>
      <w:r>
        <w:rPr>
          <w:rFonts w:hint="eastAsia" w:ascii="仿宋_GB2312"/>
          <w:color w:val="FF0000"/>
          <w:sz w:val="32"/>
          <w:szCs w:val="32"/>
        </w:rPr>
        <w:t>免征。</w:t>
      </w:r>
    </w:p>
    <w:p w14:paraId="795BED81">
      <w:pPr>
        <w:ind w:firstLine="632" w:firstLineChars="200"/>
        <w:jc w:val="left"/>
        <w:rPr>
          <w:rFonts w:hint="eastAsia" w:ascii="仿宋_GB2312" w:eastAsia="仿宋_GB2312"/>
          <w:color w:val="FF0000"/>
          <w:sz w:val="32"/>
          <w:szCs w:val="32"/>
          <w:lang w:eastAsia="zh-CN"/>
        </w:rPr>
      </w:pPr>
      <w:r>
        <w:rPr>
          <w:rFonts w:hint="eastAsia" w:ascii="仿宋_GB2312"/>
          <w:color w:val="FF0000"/>
          <w:sz w:val="32"/>
          <w:szCs w:val="32"/>
        </w:rPr>
        <w:t>（六）根据《福建省人民政府办公厅转发省商务厅 省经信委关于促进大中型物流企业发展若干措施的通知》（闽政办〔2014〕163号）文件精神，物流园区</w:t>
      </w:r>
      <w:r>
        <w:rPr>
          <w:rFonts w:hint="eastAsia" w:ascii="仿宋_GB2312"/>
          <w:color w:val="FF0000"/>
          <w:sz w:val="32"/>
          <w:szCs w:val="32"/>
          <w:lang w:eastAsia="zh-CN"/>
        </w:rPr>
        <w:t>仓储设施</w:t>
      </w:r>
      <w:r>
        <w:rPr>
          <w:rFonts w:hint="eastAsia" w:ascii="仿宋_GB2312"/>
          <w:color w:val="FF0000"/>
          <w:sz w:val="32"/>
          <w:szCs w:val="32"/>
        </w:rPr>
        <w:t>、物流配送中心</w:t>
      </w:r>
      <w:r>
        <w:rPr>
          <w:rFonts w:hint="eastAsia" w:ascii="仿宋_GB2312"/>
          <w:color w:val="FF0000"/>
          <w:sz w:val="32"/>
          <w:szCs w:val="32"/>
          <w:lang w:eastAsia="zh-CN"/>
        </w:rPr>
        <w:t>、工业</w:t>
      </w:r>
      <w:r>
        <w:rPr>
          <w:rFonts w:hint="eastAsia" w:ascii="仿宋_GB2312"/>
          <w:color w:val="FF0000"/>
          <w:sz w:val="32"/>
          <w:szCs w:val="32"/>
        </w:rPr>
        <w:t>配套</w:t>
      </w:r>
      <w:r>
        <w:rPr>
          <w:rFonts w:hint="eastAsia" w:ascii="仿宋_GB2312"/>
          <w:color w:val="FF0000"/>
          <w:sz w:val="32"/>
          <w:szCs w:val="32"/>
          <w:lang w:eastAsia="zh-CN"/>
        </w:rPr>
        <w:t>物流仓库等</w:t>
      </w:r>
      <w:r>
        <w:rPr>
          <w:rFonts w:hint="eastAsia" w:ascii="仿宋_GB2312"/>
          <w:color w:val="FF0000"/>
          <w:sz w:val="32"/>
          <w:szCs w:val="32"/>
        </w:rPr>
        <w:t>物流仓储项目免征</w:t>
      </w:r>
      <w:r>
        <w:rPr>
          <w:rFonts w:hint="eastAsia" w:ascii="仿宋_GB2312"/>
          <w:color w:val="FF0000"/>
          <w:sz w:val="32"/>
          <w:szCs w:val="32"/>
          <w:lang w:eastAsia="zh-CN"/>
        </w:rPr>
        <w:t>。</w:t>
      </w:r>
    </w:p>
    <w:p w14:paraId="6C4E3B90">
      <w:pPr>
        <w:ind w:firstLine="632" w:firstLineChars="200"/>
        <w:jc w:val="left"/>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七</w:t>
      </w:r>
      <w:r>
        <w:rPr>
          <w:rFonts w:hint="eastAsia" w:ascii="仿宋_GB2312"/>
          <w:color w:val="000000" w:themeColor="text1"/>
          <w:sz w:val="32"/>
          <w:szCs w:val="32"/>
          <w14:textFill>
            <w14:solidFill>
              <w14:schemeClr w14:val="tx1"/>
            </w14:solidFill>
          </w14:textFill>
        </w:rPr>
        <w:t>）符合乡镇、村庄规划建设或灾后重建的村民建房项目免征。</w:t>
      </w:r>
    </w:p>
    <w:p w14:paraId="10BEC740">
      <w:pPr>
        <w:ind w:firstLine="632" w:firstLineChars="200"/>
        <w:jc w:val="left"/>
        <w:rPr>
          <w:rFonts w:hint="eastAsia" w:ascii="仿宋_GB2312" w:hAnsi="宋体" w:cs="宋体"/>
          <w:color w:val="FF0000"/>
          <w:sz w:val="32"/>
          <w:szCs w:val="32"/>
        </w:rPr>
      </w:pPr>
      <w:r>
        <w:rPr>
          <w:rFonts w:hint="eastAsia" w:ascii="仿宋_GB2312" w:hAnsi="宋体" w:cs="宋体"/>
          <w:color w:val="FF0000"/>
          <w:sz w:val="32"/>
          <w:szCs w:val="32"/>
        </w:rPr>
        <w:t>（八）工矿用地、仓储用地上的工业厂房、工业仓库、物流仓库等生产性建筑免征配套费。</w:t>
      </w:r>
    </w:p>
    <w:p w14:paraId="737DD37D">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除上述减免范围外，任何单位和个人均不得以其他理由减免配套费。免征、减征配套费的建设工程需要改变使用性质的，应办理报批手续，并按规定补交配套费。未经批准擅自改变使用性质的，按改变的性质加倍征收配套费。</w:t>
      </w:r>
    </w:p>
    <w:p w14:paraId="74458716">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FF0000"/>
          <w:sz w:val="32"/>
          <w:szCs w:val="32"/>
        </w:rPr>
        <w:t>国家及省另有出台城市基础设施配套费相关政策的，以国家及省相关政策为准。</w:t>
      </w:r>
    </w:p>
    <w:p w14:paraId="79FC7506">
      <w:pPr>
        <w:ind w:firstLine="632"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第七条 </w:t>
      </w:r>
      <w:r>
        <w:rPr>
          <w:rFonts w:hint="eastAsia" w:ascii="仿宋_GB2312"/>
          <w:color w:val="FF0000"/>
          <w:sz w:val="32"/>
          <w:szCs w:val="32"/>
        </w:rPr>
        <w:t>配套费免征、减征由市住房和城乡建设行政主管部门审查后，予以办理。市住房和城乡建设行政主管部门</w:t>
      </w:r>
      <w:r>
        <w:rPr>
          <w:rFonts w:hint="eastAsia" w:ascii="仿宋_GB2312"/>
          <w:color w:val="FF0000"/>
          <w:sz w:val="32"/>
          <w:szCs w:val="32"/>
          <w:lang w:eastAsia="zh-CN"/>
        </w:rPr>
        <w:t>无法认定是否符合免征、减征条件的，应通过专题会议等方式进行集体决策后报市政府审批。</w:t>
      </w:r>
    </w:p>
    <w:p w14:paraId="1F5531F0">
      <w:pPr>
        <w:ind w:firstLine="632"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第八条 </w:t>
      </w:r>
      <w:r>
        <w:rPr>
          <w:rFonts w:hint="eastAsia" w:ascii="仿宋_GB2312"/>
          <w:color w:val="FF0000"/>
          <w:sz w:val="32"/>
          <w:szCs w:val="32"/>
        </w:rPr>
        <w:t>市住房和城乡建设行政主管部门负责征收配套费，必须使用财政部门统一印制或监制的票据。所收资金缴存市级财政，实行“收支两条线”管理。</w:t>
      </w:r>
    </w:p>
    <w:p w14:paraId="25B2B357">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第九条 建设单位和个人在办理建筑工程施工许可证时，应按</w:t>
      </w:r>
      <w:r>
        <w:rPr>
          <w:rFonts w:hint="eastAsia" w:ascii="仿宋_GB2312"/>
          <w:color w:val="000000" w:themeColor="text1"/>
          <w:sz w:val="32"/>
          <w:szCs w:val="32"/>
          <w:lang w:eastAsia="zh-CN"/>
          <w14:textFill>
            <w14:solidFill>
              <w14:schemeClr w14:val="tx1"/>
            </w14:solidFill>
          </w14:textFill>
        </w:rPr>
        <w:t>市住房和城乡建设</w:t>
      </w:r>
      <w:r>
        <w:rPr>
          <w:rFonts w:hint="eastAsia" w:ascii="仿宋_GB2312"/>
          <w:color w:val="000000" w:themeColor="text1"/>
          <w:sz w:val="32"/>
          <w:szCs w:val="32"/>
          <w14:textFill>
            <w14:solidFill>
              <w14:schemeClr w14:val="tx1"/>
            </w14:solidFill>
          </w14:textFill>
        </w:rPr>
        <w:t>行政主管部门告知的程序缴纳</w:t>
      </w:r>
      <w:r>
        <w:rPr>
          <w:rFonts w:hint="eastAsia" w:ascii="仿宋_GB2312"/>
          <w:color w:val="000000" w:themeColor="text1"/>
          <w:sz w:val="32"/>
          <w:szCs w:val="32"/>
          <w:lang w:eastAsia="zh-CN"/>
          <w14:textFill>
            <w14:solidFill>
              <w14:schemeClr w14:val="tx1"/>
            </w14:solidFill>
          </w14:textFill>
        </w:rPr>
        <w:t>城市基础设施</w:t>
      </w:r>
      <w:r>
        <w:rPr>
          <w:rFonts w:hint="eastAsia" w:ascii="仿宋_GB2312"/>
          <w:color w:val="000000" w:themeColor="text1"/>
          <w:sz w:val="32"/>
          <w:szCs w:val="32"/>
          <w14:textFill>
            <w14:solidFill>
              <w14:schemeClr w14:val="tx1"/>
            </w14:solidFill>
          </w14:textFill>
        </w:rPr>
        <w:t>配套费。未按规定缴纳</w:t>
      </w:r>
      <w:r>
        <w:rPr>
          <w:rFonts w:hint="eastAsia" w:ascii="仿宋_GB2312"/>
          <w:color w:val="000000" w:themeColor="text1"/>
          <w:sz w:val="32"/>
          <w:szCs w:val="32"/>
          <w:lang w:eastAsia="zh-CN"/>
          <w14:textFill>
            <w14:solidFill>
              <w14:schemeClr w14:val="tx1"/>
            </w14:solidFill>
          </w14:textFill>
        </w:rPr>
        <w:t>城市基础设施</w:t>
      </w:r>
      <w:r>
        <w:rPr>
          <w:rFonts w:hint="eastAsia" w:ascii="仿宋_GB2312"/>
          <w:color w:val="000000" w:themeColor="text1"/>
          <w:sz w:val="32"/>
          <w:szCs w:val="32"/>
          <w14:textFill>
            <w14:solidFill>
              <w14:schemeClr w14:val="tx1"/>
            </w14:solidFill>
          </w14:textFill>
        </w:rPr>
        <w:t>配套费的，自欠缴之日起，按日加收应缴城市基础设施配套费总额万分之五的滞纳金，滞纳金同城市基础设施配套费一并缴入市级金库。</w:t>
      </w:r>
    </w:p>
    <w:p w14:paraId="1351C50D">
      <w:pPr>
        <w:ind w:firstLine="632" w:firstLineChars="200"/>
        <w:jc w:val="left"/>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第十条 市价格、财政、审计主管部门应加强对配套费收支执行情况的监督检查，对擅自设立收费项目，提高收费标准，扩大收费范围以及违反专款专用规定的行为要依法严肃查处。</w:t>
      </w:r>
    </w:p>
    <w:p w14:paraId="28B83E1F">
      <w:pPr>
        <w:ind w:firstLine="632"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第十一条 </w:t>
      </w:r>
      <w:r>
        <w:rPr>
          <w:rFonts w:hint="eastAsia" w:ascii="仿宋_GB2312"/>
          <w:color w:val="FF0000"/>
          <w:sz w:val="32"/>
          <w:szCs w:val="32"/>
        </w:rPr>
        <w:t>本规定自发文之日起执行。《三明市人民政府关于印发三明市区城市基础设施配套费征收管理规定的通知》（明政文[2008]158号）文件</w:t>
      </w:r>
      <w:r>
        <w:rPr>
          <w:rFonts w:hint="eastAsia" w:ascii="仿宋_GB2312"/>
          <w:color w:val="FF0000"/>
          <w:sz w:val="32"/>
          <w:szCs w:val="32"/>
          <w:lang w:eastAsia="zh-CN"/>
        </w:rPr>
        <w:t>不再执行。</w:t>
      </w:r>
    </w:p>
    <w:p w14:paraId="39D1AF21">
      <w:pPr>
        <w:rPr>
          <w:rFonts w:ascii="仿宋_GB2312"/>
          <w:color w:val="000000" w:themeColor="text1"/>
          <w:sz w:val="32"/>
          <w:szCs w:val="32"/>
          <w14:textFill>
            <w14:solidFill>
              <w14:schemeClr w14:val="tx1"/>
            </w14:solidFill>
          </w14:textFill>
        </w:rPr>
      </w:pPr>
    </w:p>
    <w:p w14:paraId="17450693">
      <w:pP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附件：1、三明市区城市基础设施配套费征收标准</w:t>
      </w:r>
    </w:p>
    <w:p w14:paraId="1EC7C136">
      <w:pPr>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 xml:space="preserve">      2、三明市区城市基础设施配套费减免审批表</w:t>
      </w:r>
    </w:p>
    <w:p w14:paraId="100DE7E8">
      <w:pPr>
        <w:rPr>
          <w:rFonts w:ascii="仿宋_GB2312"/>
          <w:color w:val="000000" w:themeColor="text1"/>
          <w:sz w:val="32"/>
          <w:szCs w:val="32"/>
          <w14:textFill>
            <w14:solidFill>
              <w14:schemeClr w14:val="tx1"/>
            </w14:solidFill>
          </w14:textFill>
        </w:rPr>
      </w:pPr>
    </w:p>
    <w:p w14:paraId="13EC4D6A">
      <w:pPr>
        <w:rPr>
          <w:rFonts w:ascii="仿宋_GB2312"/>
          <w:color w:val="000000" w:themeColor="text1"/>
          <w:sz w:val="32"/>
          <w:szCs w:val="32"/>
          <w14:textFill>
            <w14:solidFill>
              <w14:schemeClr w14:val="tx1"/>
            </w14:solidFill>
          </w14:textFill>
        </w:rPr>
      </w:pPr>
    </w:p>
    <w:p w14:paraId="1379059F">
      <w:pPr>
        <w:rPr>
          <w:rFonts w:ascii="仿宋_GB2312"/>
          <w:color w:val="000000" w:themeColor="text1"/>
          <w:sz w:val="32"/>
          <w:szCs w:val="32"/>
          <w14:textFill>
            <w14:solidFill>
              <w14:schemeClr w14:val="tx1"/>
            </w14:solidFill>
          </w14:textFill>
        </w:rPr>
      </w:pPr>
    </w:p>
    <w:p w14:paraId="5AC718E7">
      <w:pPr>
        <w:rPr>
          <w:rFonts w:ascii="仿宋_GB2312"/>
          <w:color w:val="000000" w:themeColor="text1"/>
          <w:sz w:val="32"/>
          <w:szCs w:val="32"/>
          <w14:textFill>
            <w14:solidFill>
              <w14:schemeClr w14:val="tx1"/>
            </w14:solidFill>
          </w14:textFill>
        </w:rPr>
      </w:pPr>
    </w:p>
    <w:p w14:paraId="6666A684">
      <w:pPr>
        <w:rPr>
          <w:rFonts w:ascii="仿宋_GB2312"/>
          <w:color w:val="000000" w:themeColor="text1"/>
          <w:sz w:val="32"/>
          <w:szCs w:val="32"/>
          <w14:textFill>
            <w14:solidFill>
              <w14:schemeClr w14:val="tx1"/>
            </w14:solidFill>
          </w14:textFill>
        </w:rPr>
      </w:pPr>
    </w:p>
    <w:p w14:paraId="5F3E3203">
      <w:pPr>
        <w:rPr>
          <w:rFonts w:hint="eastAsia" w:ascii="仿宋_GB2312"/>
          <w:color w:val="000000" w:themeColor="text1"/>
          <w:sz w:val="32"/>
          <w:szCs w:val="32"/>
          <w14:textFill>
            <w14:solidFill>
              <w14:schemeClr w14:val="tx1"/>
            </w14:solidFill>
          </w14:textFill>
        </w:rPr>
      </w:pPr>
    </w:p>
    <w:p w14:paraId="5CD8E186">
      <w:pPr>
        <w:rPr>
          <w:rFonts w:ascii="仿宋_GB2312"/>
          <w:sz w:val="32"/>
          <w:szCs w:val="32"/>
        </w:rPr>
      </w:pPr>
      <w:r>
        <w:rPr>
          <w:rFonts w:hint="eastAsia" w:ascii="仿宋_GB2312"/>
          <w:sz w:val="32"/>
          <w:szCs w:val="32"/>
        </w:rPr>
        <w:t>附件1：</w:t>
      </w:r>
    </w:p>
    <w:p w14:paraId="7E5D2A10">
      <w:pPr>
        <w:ind w:firstLine="1419" w:firstLineChars="449"/>
        <w:rPr>
          <w:rFonts w:hint="eastAsia" w:ascii="仿宋_GB2312"/>
          <w:b/>
          <w:sz w:val="32"/>
          <w:szCs w:val="32"/>
        </w:rPr>
      </w:pPr>
    </w:p>
    <w:p w14:paraId="60616090">
      <w:pPr>
        <w:ind w:firstLine="1419" w:firstLineChars="449"/>
        <w:rPr>
          <w:rFonts w:hint="eastAsia" w:ascii="仿宋_GB2312"/>
          <w:b/>
          <w:sz w:val="32"/>
          <w:szCs w:val="32"/>
        </w:rPr>
      </w:pPr>
    </w:p>
    <w:p w14:paraId="100EC0F1">
      <w:pPr>
        <w:ind w:firstLine="1419" w:firstLineChars="449"/>
        <w:rPr>
          <w:rFonts w:ascii="仿宋_GB2312"/>
          <w:b/>
          <w:sz w:val="32"/>
          <w:szCs w:val="32"/>
        </w:rPr>
      </w:pPr>
      <w:bookmarkStart w:id="0" w:name="_GoBack"/>
      <w:bookmarkEnd w:id="0"/>
      <w:r>
        <w:rPr>
          <w:rFonts w:hint="eastAsia" w:ascii="仿宋_GB2312"/>
          <w:b/>
          <w:sz w:val="32"/>
          <w:szCs w:val="32"/>
        </w:rPr>
        <w:t>三明市城区城市基础设施配套费征收标准</w:t>
      </w:r>
    </w:p>
    <w:p w14:paraId="69EF34E3">
      <w:pPr>
        <w:ind w:firstLine="3535" w:firstLineChars="1281"/>
        <w:rPr>
          <w:rFonts w:ascii="仿宋_GB2312"/>
          <w:sz w:val="28"/>
          <w:szCs w:val="28"/>
        </w:rPr>
      </w:pPr>
      <w:r>
        <w:rPr>
          <w:rFonts w:hint="eastAsia" w:ascii="仿宋_GB2312"/>
          <w:sz w:val="28"/>
          <w:szCs w:val="28"/>
        </w:rPr>
        <w:t>单 位：元/平方米（按总建筑面积收取）</w:t>
      </w:r>
    </w:p>
    <w:tbl>
      <w:tblPr>
        <w:tblStyle w:val="7"/>
        <w:tblpPr w:leftFromText="180" w:rightFromText="180" w:vertAnchor="page" w:horzAnchor="margin" w:tblpY="330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842"/>
        <w:gridCol w:w="1985"/>
        <w:gridCol w:w="2410"/>
      </w:tblGrid>
      <w:tr w14:paraId="6CB0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802" w:type="dxa"/>
            <w:vAlign w:val="center"/>
          </w:tcPr>
          <w:p w14:paraId="4D7CB9EA">
            <w:pPr>
              <w:spacing w:line="360" w:lineRule="exact"/>
              <w:jc w:val="center"/>
              <w:rPr>
                <w:rFonts w:ascii="仿宋_GB2312"/>
                <w:sz w:val="32"/>
                <w:szCs w:val="32"/>
              </w:rPr>
            </w:pPr>
            <w:r>
              <w:rPr>
                <w:rFonts w:hint="eastAsia" w:ascii="仿宋_GB2312"/>
                <w:sz w:val="32"/>
                <w:szCs w:val="32"/>
              </w:rPr>
              <w:t>类区</w:t>
            </w:r>
          </w:p>
        </w:tc>
        <w:tc>
          <w:tcPr>
            <w:tcW w:w="1842" w:type="dxa"/>
            <w:vAlign w:val="center"/>
          </w:tcPr>
          <w:p w14:paraId="02762EC7">
            <w:pPr>
              <w:spacing w:line="360" w:lineRule="exact"/>
              <w:jc w:val="center"/>
              <w:rPr>
                <w:rFonts w:ascii="仿宋_GB2312"/>
                <w:b/>
                <w:sz w:val="32"/>
                <w:szCs w:val="32"/>
              </w:rPr>
            </w:pPr>
            <w:r>
              <w:rPr>
                <w:rFonts w:hint="eastAsia" w:ascii="仿宋_GB2312"/>
                <w:b/>
                <w:sz w:val="32"/>
                <w:szCs w:val="32"/>
              </w:rPr>
              <w:t>住宅</w:t>
            </w:r>
          </w:p>
        </w:tc>
        <w:tc>
          <w:tcPr>
            <w:tcW w:w="1985" w:type="dxa"/>
            <w:vAlign w:val="center"/>
          </w:tcPr>
          <w:p w14:paraId="1114F63F">
            <w:pPr>
              <w:spacing w:line="360" w:lineRule="exact"/>
              <w:jc w:val="center"/>
              <w:rPr>
                <w:rFonts w:ascii="仿宋_GB2312"/>
                <w:b/>
                <w:sz w:val="32"/>
                <w:szCs w:val="32"/>
              </w:rPr>
            </w:pPr>
            <w:r>
              <w:rPr>
                <w:rFonts w:hint="eastAsia" w:ascii="仿宋_GB2312"/>
                <w:b/>
                <w:sz w:val="32"/>
                <w:szCs w:val="32"/>
              </w:rPr>
              <w:t>商业</w:t>
            </w:r>
          </w:p>
          <w:p w14:paraId="490C0D8F">
            <w:pPr>
              <w:spacing w:line="360" w:lineRule="exact"/>
              <w:jc w:val="center"/>
              <w:rPr>
                <w:rFonts w:ascii="仿宋_GB2312"/>
                <w:b/>
                <w:sz w:val="32"/>
                <w:szCs w:val="32"/>
              </w:rPr>
            </w:pPr>
            <w:r>
              <w:rPr>
                <w:rFonts w:hint="eastAsia" w:ascii="仿宋_GB2312"/>
                <w:b/>
                <w:sz w:val="32"/>
                <w:szCs w:val="32"/>
              </w:rPr>
              <w:t>（含写字楼）</w:t>
            </w:r>
          </w:p>
        </w:tc>
        <w:tc>
          <w:tcPr>
            <w:tcW w:w="2410" w:type="dxa"/>
            <w:vAlign w:val="center"/>
          </w:tcPr>
          <w:p w14:paraId="502821D0">
            <w:pPr>
              <w:spacing w:line="360" w:lineRule="exact"/>
              <w:jc w:val="center"/>
              <w:rPr>
                <w:rFonts w:ascii="仿宋_GB2312"/>
                <w:b/>
                <w:sz w:val="32"/>
                <w:szCs w:val="32"/>
              </w:rPr>
            </w:pPr>
            <w:r>
              <w:rPr>
                <w:rFonts w:hint="eastAsia" w:ascii="仿宋_GB2312"/>
                <w:b/>
                <w:sz w:val="32"/>
                <w:szCs w:val="32"/>
              </w:rPr>
              <w:t>工业</w:t>
            </w:r>
          </w:p>
        </w:tc>
      </w:tr>
      <w:tr w14:paraId="6E3B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802" w:type="dxa"/>
            <w:vAlign w:val="center"/>
          </w:tcPr>
          <w:p w14:paraId="073722FF">
            <w:pPr>
              <w:spacing w:line="360" w:lineRule="exact"/>
              <w:jc w:val="center"/>
              <w:rPr>
                <w:rFonts w:ascii="仿宋_GB2312"/>
                <w:sz w:val="32"/>
                <w:szCs w:val="32"/>
              </w:rPr>
            </w:pPr>
            <w:r>
              <w:rPr>
                <w:rFonts w:hint="eastAsia" w:ascii="仿宋_GB2312"/>
                <w:sz w:val="32"/>
                <w:szCs w:val="32"/>
              </w:rPr>
              <w:t>一</w:t>
            </w:r>
          </w:p>
          <w:p w14:paraId="17AC93C1">
            <w:pPr>
              <w:spacing w:line="360" w:lineRule="exact"/>
              <w:jc w:val="center"/>
              <w:rPr>
                <w:rFonts w:ascii="仿宋_GB2312"/>
                <w:sz w:val="32"/>
                <w:szCs w:val="32"/>
              </w:rPr>
            </w:pPr>
            <w:r>
              <w:rPr>
                <w:rFonts w:hint="eastAsia" w:ascii="仿宋_GB2312"/>
                <w:sz w:val="32"/>
                <w:szCs w:val="32"/>
              </w:rPr>
              <w:t>类</w:t>
            </w:r>
          </w:p>
          <w:p w14:paraId="35D05415">
            <w:pPr>
              <w:spacing w:line="360" w:lineRule="exact"/>
              <w:jc w:val="center"/>
              <w:rPr>
                <w:rFonts w:ascii="仿宋_GB2312"/>
                <w:sz w:val="32"/>
                <w:szCs w:val="32"/>
              </w:rPr>
            </w:pPr>
            <w:r>
              <w:rPr>
                <w:rFonts w:hint="eastAsia" w:ascii="仿宋_GB2312"/>
                <w:sz w:val="32"/>
                <w:szCs w:val="32"/>
              </w:rPr>
              <w:t>区</w:t>
            </w:r>
          </w:p>
        </w:tc>
        <w:tc>
          <w:tcPr>
            <w:tcW w:w="1842" w:type="dxa"/>
            <w:vAlign w:val="center"/>
          </w:tcPr>
          <w:p w14:paraId="287F1316">
            <w:pPr>
              <w:spacing w:line="360" w:lineRule="exact"/>
              <w:jc w:val="center"/>
              <w:rPr>
                <w:rFonts w:ascii="仿宋_GB2312"/>
                <w:sz w:val="32"/>
                <w:szCs w:val="32"/>
              </w:rPr>
            </w:pPr>
            <w:r>
              <w:rPr>
                <w:rFonts w:hint="eastAsia" w:ascii="仿宋_GB2312"/>
                <w:sz w:val="32"/>
                <w:szCs w:val="32"/>
              </w:rPr>
              <w:t>60</w:t>
            </w:r>
          </w:p>
        </w:tc>
        <w:tc>
          <w:tcPr>
            <w:tcW w:w="1985" w:type="dxa"/>
            <w:vAlign w:val="center"/>
          </w:tcPr>
          <w:p w14:paraId="798BB92E">
            <w:pPr>
              <w:spacing w:line="360" w:lineRule="exact"/>
              <w:jc w:val="center"/>
              <w:rPr>
                <w:rFonts w:ascii="仿宋_GB2312"/>
                <w:sz w:val="32"/>
                <w:szCs w:val="32"/>
              </w:rPr>
            </w:pPr>
            <w:r>
              <w:rPr>
                <w:rFonts w:hint="eastAsia" w:ascii="仿宋_GB2312"/>
                <w:sz w:val="32"/>
                <w:szCs w:val="32"/>
              </w:rPr>
              <w:t>80</w:t>
            </w:r>
          </w:p>
        </w:tc>
        <w:tc>
          <w:tcPr>
            <w:tcW w:w="2410" w:type="dxa"/>
            <w:vAlign w:val="center"/>
          </w:tcPr>
          <w:p w14:paraId="0784C479">
            <w:pPr>
              <w:spacing w:line="360" w:lineRule="exact"/>
              <w:jc w:val="center"/>
              <w:rPr>
                <w:rFonts w:ascii="仿宋_GB2312"/>
                <w:sz w:val="32"/>
                <w:szCs w:val="32"/>
              </w:rPr>
            </w:pPr>
            <w:r>
              <w:rPr>
                <w:rFonts w:hint="eastAsia" w:ascii="仿宋_GB2312"/>
                <w:sz w:val="32"/>
                <w:szCs w:val="32"/>
              </w:rPr>
              <w:t>35</w:t>
            </w:r>
          </w:p>
        </w:tc>
      </w:tr>
      <w:tr w14:paraId="4A7B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802" w:type="dxa"/>
            <w:vAlign w:val="center"/>
          </w:tcPr>
          <w:p w14:paraId="1EB18591">
            <w:pPr>
              <w:spacing w:line="360" w:lineRule="exact"/>
              <w:jc w:val="center"/>
              <w:rPr>
                <w:rFonts w:ascii="仿宋_GB2312"/>
                <w:sz w:val="32"/>
                <w:szCs w:val="32"/>
              </w:rPr>
            </w:pPr>
            <w:r>
              <w:rPr>
                <w:rFonts w:hint="eastAsia" w:ascii="仿宋_GB2312"/>
                <w:sz w:val="32"/>
                <w:szCs w:val="32"/>
              </w:rPr>
              <w:t>二</w:t>
            </w:r>
          </w:p>
          <w:p w14:paraId="61EDF125">
            <w:pPr>
              <w:spacing w:line="360" w:lineRule="exact"/>
              <w:jc w:val="center"/>
              <w:rPr>
                <w:rFonts w:ascii="仿宋_GB2312"/>
                <w:sz w:val="32"/>
                <w:szCs w:val="32"/>
              </w:rPr>
            </w:pPr>
            <w:r>
              <w:rPr>
                <w:rFonts w:hint="eastAsia" w:ascii="仿宋_GB2312"/>
                <w:sz w:val="32"/>
                <w:szCs w:val="32"/>
              </w:rPr>
              <w:t>类</w:t>
            </w:r>
          </w:p>
          <w:p w14:paraId="175BEFEC">
            <w:pPr>
              <w:spacing w:line="360" w:lineRule="exact"/>
              <w:jc w:val="center"/>
              <w:rPr>
                <w:rFonts w:ascii="仿宋_GB2312"/>
                <w:sz w:val="32"/>
                <w:szCs w:val="32"/>
              </w:rPr>
            </w:pPr>
            <w:r>
              <w:rPr>
                <w:rFonts w:hint="eastAsia" w:ascii="仿宋_GB2312"/>
                <w:sz w:val="32"/>
                <w:szCs w:val="32"/>
              </w:rPr>
              <w:t>区</w:t>
            </w:r>
          </w:p>
        </w:tc>
        <w:tc>
          <w:tcPr>
            <w:tcW w:w="1842" w:type="dxa"/>
            <w:vAlign w:val="center"/>
          </w:tcPr>
          <w:p w14:paraId="70550E7E">
            <w:pPr>
              <w:spacing w:line="360" w:lineRule="exact"/>
              <w:jc w:val="center"/>
              <w:rPr>
                <w:rFonts w:ascii="仿宋_GB2312"/>
                <w:sz w:val="32"/>
                <w:szCs w:val="32"/>
              </w:rPr>
            </w:pPr>
            <w:r>
              <w:rPr>
                <w:rFonts w:hint="eastAsia" w:ascii="仿宋_GB2312"/>
                <w:sz w:val="32"/>
                <w:szCs w:val="32"/>
              </w:rPr>
              <w:t>40</w:t>
            </w:r>
          </w:p>
        </w:tc>
        <w:tc>
          <w:tcPr>
            <w:tcW w:w="1985" w:type="dxa"/>
            <w:vAlign w:val="center"/>
          </w:tcPr>
          <w:p w14:paraId="19AB040E">
            <w:pPr>
              <w:spacing w:line="360" w:lineRule="exact"/>
              <w:jc w:val="center"/>
              <w:rPr>
                <w:rFonts w:ascii="仿宋_GB2312"/>
                <w:sz w:val="32"/>
                <w:szCs w:val="32"/>
              </w:rPr>
            </w:pPr>
            <w:r>
              <w:rPr>
                <w:rFonts w:hint="eastAsia" w:ascii="仿宋_GB2312"/>
                <w:sz w:val="32"/>
                <w:szCs w:val="32"/>
              </w:rPr>
              <w:t>60</w:t>
            </w:r>
          </w:p>
        </w:tc>
        <w:tc>
          <w:tcPr>
            <w:tcW w:w="2410" w:type="dxa"/>
            <w:vAlign w:val="center"/>
          </w:tcPr>
          <w:p w14:paraId="5FC90643">
            <w:pPr>
              <w:spacing w:line="360" w:lineRule="exact"/>
              <w:jc w:val="center"/>
              <w:rPr>
                <w:rFonts w:ascii="仿宋_GB2312"/>
                <w:sz w:val="32"/>
                <w:szCs w:val="32"/>
              </w:rPr>
            </w:pPr>
            <w:r>
              <w:rPr>
                <w:rFonts w:hint="eastAsia" w:ascii="仿宋_GB2312"/>
                <w:sz w:val="32"/>
                <w:szCs w:val="32"/>
              </w:rPr>
              <w:t>25</w:t>
            </w:r>
          </w:p>
        </w:tc>
      </w:tr>
      <w:tr w14:paraId="0A58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802" w:type="dxa"/>
            <w:vAlign w:val="center"/>
          </w:tcPr>
          <w:p w14:paraId="70503BDA">
            <w:pPr>
              <w:spacing w:line="360" w:lineRule="exact"/>
              <w:jc w:val="center"/>
              <w:rPr>
                <w:rFonts w:ascii="仿宋_GB2312"/>
                <w:sz w:val="32"/>
                <w:szCs w:val="32"/>
              </w:rPr>
            </w:pPr>
            <w:r>
              <w:rPr>
                <w:rFonts w:hint="eastAsia" w:ascii="仿宋_GB2312"/>
                <w:sz w:val="32"/>
                <w:szCs w:val="32"/>
              </w:rPr>
              <w:t>三</w:t>
            </w:r>
          </w:p>
          <w:p w14:paraId="126FE84B">
            <w:pPr>
              <w:spacing w:line="360" w:lineRule="exact"/>
              <w:jc w:val="center"/>
              <w:rPr>
                <w:rFonts w:ascii="仿宋_GB2312"/>
                <w:sz w:val="32"/>
                <w:szCs w:val="32"/>
              </w:rPr>
            </w:pPr>
            <w:r>
              <w:rPr>
                <w:rFonts w:hint="eastAsia" w:ascii="仿宋_GB2312"/>
                <w:sz w:val="32"/>
                <w:szCs w:val="32"/>
              </w:rPr>
              <w:t>类</w:t>
            </w:r>
          </w:p>
          <w:p w14:paraId="54E3BC14">
            <w:pPr>
              <w:spacing w:line="360" w:lineRule="exact"/>
              <w:jc w:val="center"/>
              <w:rPr>
                <w:rFonts w:ascii="仿宋_GB2312"/>
                <w:sz w:val="32"/>
                <w:szCs w:val="32"/>
              </w:rPr>
            </w:pPr>
            <w:r>
              <w:rPr>
                <w:rFonts w:hint="eastAsia" w:ascii="仿宋_GB2312"/>
                <w:sz w:val="32"/>
                <w:szCs w:val="32"/>
              </w:rPr>
              <w:t>区</w:t>
            </w:r>
          </w:p>
        </w:tc>
        <w:tc>
          <w:tcPr>
            <w:tcW w:w="1842" w:type="dxa"/>
            <w:vAlign w:val="center"/>
          </w:tcPr>
          <w:p w14:paraId="36B3CD9E">
            <w:pPr>
              <w:spacing w:line="360" w:lineRule="exact"/>
              <w:jc w:val="center"/>
              <w:rPr>
                <w:rFonts w:ascii="仿宋_GB2312"/>
                <w:sz w:val="32"/>
                <w:szCs w:val="32"/>
              </w:rPr>
            </w:pPr>
            <w:r>
              <w:rPr>
                <w:rFonts w:hint="eastAsia" w:ascii="仿宋_GB2312"/>
                <w:sz w:val="32"/>
                <w:szCs w:val="32"/>
              </w:rPr>
              <w:t>20</w:t>
            </w:r>
          </w:p>
        </w:tc>
        <w:tc>
          <w:tcPr>
            <w:tcW w:w="1985" w:type="dxa"/>
            <w:vAlign w:val="center"/>
          </w:tcPr>
          <w:p w14:paraId="1EE079BC">
            <w:pPr>
              <w:spacing w:line="360" w:lineRule="exact"/>
              <w:jc w:val="center"/>
              <w:rPr>
                <w:rFonts w:ascii="仿宋_GB2312"/>
                <w:sz w:val="32"/>
                <w:szCs w:val="32"/>
              </w:rPr>
            </w:pPr>
            <w:r>
              <w:rPr>
                <w:rFonts w:hint="eastAsia" w:ascii="仿宋_GB2312"/>
                <w:sz w:val="32"/>
                <w:szCs w:val="32"/>
              </w:rPr>
              <w:t>40</w:t>
            </w:r>
          </w:p>
        </w:tc>
        <w:tc>
          <w:tcPr>
            <w:tcW w:w="2410" w:type="dxa"/>
            <w:vAlign w:val="center"/>
          </w:tcPr>
          <w:p w14:paraId="27553CDA">
            <w:pPr>
              <w:spacing w:line="360" w:lineRule="exact"/>
              <w:jc w:val="center"/>
              <w:rPr>
                <w:rFonts w:ascii="仿宋_GB2312"/>
                <w:sz w:val="32"/>
                <w:szCs w:val="32"/>
              </w:rPr>
            </w:pPr>
            <w:r>
              <w:rPr>
                <w:rFonts w:hint="eastAsia" w:ascii="仿宋_GB2312"/>
                <w:sz w:val="32"/>
                <w:szCs w:val="32"/>
              </w:rPr>
              <w:t>15</w:t>
            </w:r>
          </w:p>
        </w:tc>
      </w:tr>
    </w:tbl>
    <w:p w14:paraId="0EA8DE31">
      <w:pPr>
        <w:rPr>
          <w:rFonts w:ascii="仿宋_GB2312"/>
          <w:sz w:val="32"/>
          <w:szCs w:val="32"/>
        </w:rPr>
      </w:pPr>
      <w:r>
        <w:rPr>
          <w:rFonts w:hint="eastAsia" w:ascii="仿宋_GB2312"/>
          <w:sz w:val="32"/>
          <w:szCs w:val="32"/>
        </w:rPr>
        <w:t>注：1.学校非经营性建设项目按住宅的收费标准减半征收，其他减半征收项目按商业的收费标准减半征收。</w:t>
      </w:r>
    </w:p>
    <w:p w14:paraId="2FC136CD">
      <w:pPr>
        <w:rPr>
          <w:rFonts w:ascii="仿宋_GB2312"/>
          <w:sz w:val="32"/>
          <w:szCs w:val="32"/>
        </w:rPr>
      </w:pPr>
      <w:r>
        <w:rPr>
          <w:rFonts w:hint="eastAsia" w:ascii="仿宋_GB2312"/>
          <w:sz w:val="32"/>
          <w:szCs w:val="32"/>
        </w:rPr>
        <w:t>2.综合楼按其住宅和商业（或写字楼）实际建筑面积分别计收配套费。</w:t>
      </w:r>
    </w:p>
    <w:p w14:paraId="3E9909C8">
      <w:pPr>
        <w:rPr>
          <w:rFonts w:hint="eastAsia" w:ascii="仿宋_GB2312" w:eastAsia="仿宋_GB2312"/>
          <w:color w:val="FF0000"/>
          <w:sz w:val="32"/>
          <w:szCs w:val="32"/>
          <w:lang w:val="en-US" w:eastAsia="zh-CN"/>
        </w:rPr>
      </w:pPr>
      <w:r>
        <w:rPr>
          <w:rFonts w:hint="eastAsia" w:ascii="仿宋_GB2312"/>
          <w:color w:val="FF0000"/>
          <w:sz w:val="32"/>
          <w:szCs w:val="32"/>
          <w:lang w:val="en-US" w:eastAsia="zh-CN"/>
        </w:rPr>
        <w:t>3.所有项目的非计容面积按商业的收费标准征收。</w:t>
      </w:r>
    </w:p>
    <w:p w14:paraId="0F94C82B">
      <w:pPr>
        <w:rPr>
          <w:rFonts w:ascii="仿宋_GB2312"/>
          <w:sz w:val="32"/>
          <w:szCs w:val="32"/>
        </w:rPr>
      </w:pPr>
    </w:p>
    <w:p w14:paraId="6BE47378">
      <w:pPr>
        <w:rPr>
          <w:rFonts w:hint="eastAsia" w:ascii="仿宋_GB2312"/>
          <w:sz w:val="32"/>
          <w:szCs w:val="32"/>
        </w:rPr>
      </w:pPr>
    </w:p>
    <w:p w14:paraId="4F005C92">
      <w:pPr>
        <w:rPr>
          <w:rFonts w:hint="eastAsia" w:ascii="仿宋_GB2312"/>
          <w:sz w:val="32"/>
          <w:szCs w:val="32"/>
        </w:rPr>
      </w:pPr>
    </w:p>
    <w:p w14:paraId="10566742">
      <w:pPr>
        <w:rPr>
          <w:rFonts w:hint="eastAsia" w:ascii="仿宋_GB2312"/>
          <w:sz w:val="32"/>
          <w:szCs w:val="32"/>
        </w:rPr>
      </w:pPr>
    </w:p>
    <w:p w14:paraId="722D3428">
      <w:pPr>
        <w:rPr>
          <w:rFonts w:hint="eastAsia" w:ascii="仿宋_GB2312"/>
          <w:sz w:val="32"/>
          <w:szCs w:val="32"/>
        </w:rPr>
      </w:pPr>
    </w:p>
    <w:p w14:paraId="1B88774B">
      <w:pPr>
        <w:rPr>
          <w:rFonts w:hint="eastAsia" w:ascii="仿宋_GB2312"/>
          <w:sz w:val="32"/>
          <w:szCs w:val="32"/>
        </w:rPr>
      </w:pPr>
    </w:p>
    <w:p w14:paraId="706A7C58">
      <w:pPr>
        <w:rPr>
          <w:rFonts w:ascii="仿宋_GB2312"/>
          <w:sz w:val="32"/>
          <w:szCs w:val="32"/>
        </w:rPr>
      </w:pPr>
      <w:r>
        <w:rPr>
          <w:rFonts w:hint="eastAsia" w:ascii="仿宋_GB2312"/>
          <w:sz w:val="32"/>
          <w:szCs w:val="32"/>
        </w:rPr>
        <w:t>附件</w:t>
      </w:r>
      <w:r>
        <w:rPr>
          <w:rFonts w:hint="eastAsia" w:ascii="仿宋_GB2312"/>
          <w:sz w:val="32"/>
          <w:szCs w:val="32"/>
          <w:lang w:val="en-US" w:eastAsia="zh-CN"/>
        </w:rPr>
        <w:t>2</w:t>
      </w:r>
      <w:r>
        <w:rPr>
          <w:rFonts w:hint="eastAsia" w:ascii="仿宋_GB2312"/>
          <w:sz w:val="32"/>
          <w:szCs w:val="32"/>
        </w:rPr>
        <w:t>：</w:t>
      </w:r>
    </w:p>
    <w:tbl>
      <w:tblPr>
        <w:tblStyle w:val="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5"/>
        <w:gridCol w:w="3287"/>
        <w:gridCol w:w="1229"/>
        <w:gridCol w:w="1293"/>
        <w:gridCol w:w="367"/>
        <w:gridCol w:w="2099"/>
      </w:tblGrid>
      <w:tr w14:paraId="56CB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3" w:hRule="atLeast"/>
          <w:jc w:val="center"/>
        </w:trPr>
        <w:tc>
          <w:tcPr>
            <w:tcW w:w="10040" w:type="dxa"/>
            <w:gridSpan w:val="6"/>
            <w:tcBorders>
              <w:top w:val="nil"/>
              <w:left w:val="nil"/>
              <w:bottom w:val="single" w:color="000000" w:sz="4" w:space="0"/>
              <w:right w:val="nil"/>
            </w:tcBorders>
            <w:shd w:val="clear" w:color="auto" w:fill="auto"/>
            <w:noWrap/>
            <w:vAlign w:val="center"/>
          </w:tcPr>
          <w:p w14:paraId="18525BA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三明市区城市基础设施配套费减免审批表</w:t>
            </w:r>
          </w:p>
          <w:p w14:paraId="04BD7CAA">
            <w:pPr>
              <w:jc w:val="left"/>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                 </w:t>
            </w:r>
            <w:r>
              <w:rPr>
                <w:rFonts w:hint="eastAsia" w:ascii="宋体" w:hAnsi="宋体" w:eastAsia="宋体" w:cs="宋体"/>
                <w:b/>
                <w:bCs/>
                <w:i w:val="0"/>
                <w:iCs w:val="0"/>
                <w:color w:val="000000"/>
                <w:kern w:val="0"/>
                <w:sz w:val="24"/>
                <w:szCs w:val="24"/>
                <w:u w:val="none"/>
                <w:lang w:val="en-US" w:eastAsia="zh-CN" w:bidi="ar"/>
              </w:rPr>
              <w:t>NO:</w:t>
            </w:r>
          </w:p>
        </w:tc>
      </w:tr>
      <w:tr w14:paraId="61F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38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工程建设单位  (盖单)</w:t>
            </w:r>
          </w:p>
        </w:tc>
        <w:tc>
          <w:tcPr>
            <w:tcW w:w="4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70E1">
            <w:pPr>
              <w:jc w:val="center"/>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A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B044">
            <w:pPr>
              <w:rPr>
                <w:rFonts w:hint="eastAsia" w:ascii="宋体" w:hAnsi="宋体" w:eastAsia="宋体" w:cs="宋体"/>
                <w:i w:val="0"/>
                <w:iCs w:val="0"/>
                <w:color w:val="000000"/>
                <w:sz w:val="24"/>
                <w:szCs w:val="24"/>
                <w:u w:val="none"/>
              </w:rPr>
            </w:pPr>
          </w:p>
        </w:tc>
      </w:tr>
      <w:tr w14:paraId="69A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9B0D6">
            <w:pPr>
              <w:jc w:val="center"/>
              <w:rPr>
                <w:rFonts w:hint="eastAsia" w:ascii="宋体" w:hAnsi="宋体" w:eastAsia="宋体" w:cs="宋体"/>
                <w:i w:val="0"/>
                <w:iCs w:val="0"/>
                <w:color w:val="000000"/>
                <w:sz w:val="24"/>
                <w:szCs w:val="24"/>
                <w:u w:val="none"/>
              </w:rPr>
            </w:pPr>
          </w:p>
        </w:tc>
        <w:tc>
          <w:tcPr>
            <w:tcW w:w="4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AC03">
            <w:pPr>
              <w:jc w:val="center"/>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9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话</w:t>
            </w:r>
          </w:p>
        </w:tc>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317D">
            <w:pPr>
              <w:rPr>
                <w:rFonts w:hint="eastAsia" w:ascii="宋体" w:hAnsi="宋体" w:eastAsia="宋体" w:cs="宋体"/>
                <w:i w:val="0"/>
                <w:iCs w:val="0"/>
                <w:color w:val="000000"/>
                <w:sz w:val="24"/>
                <w:szCs w:val="24"/>
                <w:u w:val="none"/>
              </w:rPr>
            </w:pPr>
          </w:p>
        </w:tc>
      </w:tr>
      <w:tr w14:paraId="5806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5" w:type="dxa"/>
            <w:tcBorders>
              <w:top w:val="single" w:color="000000" w:sz="4" w:space="0"/>
            </w:tcBorders>
            <w:shd w:val="clear" w:color="auto" w:fill="auto"/>
            <w:noWrap/>
            <w:vAlign w:val="center"/>
          </w:tcPr>
          <w:p w14:paraId="3A81E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3287" w:type="dxa"/>
            <w:tcBorders>
              <w:top w:val="single" w:color="000000" w:sz="4" w:space="0"/>
            </w:tcBorders>
            <w:shd w:val="clear" w:color="auto" w:fill="auto"/>
            <w:noWrap/>
            <w:vAlign w:val="center"/>
          </w:tcPr>
          <w:p w14:paraId="577ECE79">
            <w:pPr>
              <w:jc w:val="center"/>
              <w:rPr>
                <w:rFonts w:hint="eastAsia" w:ascii="宋体" w:hAnsi="宋体" w:eastAsia="宋体" w:cs="宋体"/>
                <w:i w:val="0"/>
                <w:iCs w:val="0"/>
                <w:color w:val="000000"/>
                <w:sz w:val="24"/>
                <w:szCs w:val="24"/>
                <w:u w:val="none"/>
              </w:rPr>
            </w:pPr>
          </w:p>
        </w:tc>
        <w:tc>
          <w:tcPr>
            <w:tcW w:w="1229" w:type="dxa"/>
            <w:tcBorders>
              <w:top w:val="single" w:color="000000" w:sz="4" w:space="0"/>
            </w:tcBorders>
            <w:shd w:val="clear" w:color="auto" w:fill="auto"/>
            <w:noWrap/>
            <w:vAlign w:val="center"/>
          </w:tcPr>
          <w:p w14:paraId="17EA2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   点</w:t>
            </w:r>
          </w:p>
        </w:tc>
        <w:tc>
          <w:tcPr>
            <w:tcW w:w="3759" w:type="dxa"/>
            <w:gridSpan w:val="3"/>
            <w:tcBorders>
              <w:top w:val="single" w:color="000000" w:sz="4" w:space="0"/>
            </w:tcBorders>
            <w:shd w:val="clear" w:color="auto" w:fill="auto"/>
            <w:noWrap/>
            <w:vAlign w:val="center"/>
          </w:tcPr>
          <w:p w14:paraId="5AA5A2C9">
            <w:pPr>
              <w:jc w:val="center"/>
              <w:rPr>
                <w:rFonts w:hint="eastAsia" w:ascii="宋体" w:hAnsi="宋体" w:eastAsia="宋体" w:cs="宋体"/>
                <w:i w:val="0"/>
                <w:iCs w:val="0"/>
                <w:color w:val="000000"/>
                <w:sz w:val="24"/>
                <w:szCs w:val="24"/>
                <w:u w:val="none"/>
              </w:rPr>
            </w:pPr>
          </w:p>
        </w:tc>
      </w:tr>
      <w:tr w14:paraId="236E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65" w:type="dxa"/>
            <w:shd w:val="clear" w:color="auto" w:fill="auto"/>
            <w:noWrap/>
            <w:vAlign w:val="center"/>
          </w:tcPr>
          <w:p w14:paraId="084060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用地面积(㎡)</w:t>
            </w:r>
          </w:p>
        </w:tc>
        <w:tc>
          <w:tcPr>
            <w:tcW w:w="3287" w:type="dxa"/>
            <w:shd w:val="clear" w:color="auto" w:fill="auto"/>
            <w:noWrap/>
            <w:vAlign w:val="center"/>
          </w:tcPr>
          <w:p w14:paraId="23683641">
            <w:pPr>
              <w:jc w:val="center"/>
              <w:rPr>
                <w:rFonts w:hint="eastAsia" w:ascii="宋体" w:hAnsi="宋体" w:eastAsia="宋体" w:cs="宋体"/>
                <w:i w:val="0"/>
                <w:iCs w:val="0"/>
                <w:color w:val="000000"/>
                <w:sz w:val="24"/>
                <w:szCs w:val="24"/>
                <w:u w:val="none"/>
              </w:rPr>
            </w:pPr>
          </w:p>
        </w:tc>
        <w:tc>
          <w:tcPr>
            <w:tcW w:w="2889" w:type="dxa"/>
            <w:gridSpan w:val="3"/>
            <w:shd w:val="clear" w:color="auto" w:fill="auto"/>
            <w:noWrap/>
            <w:vAlign w:val="center"/>
          </w:tcPr>
          <w:p w14:paraId="12E4C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建筑面积(㎡)</w:t>
            </w:r>
          </w:p>
        </w:tc>
        <w:tc>
          <w:tcPr>
            <w:tcW w:w="2099" w:type="dxa"/>
            <w:shd w:val="clear" w:color="auto" w:fill="auto"/>
            <w:noWrap/>
            <w:vAlign w:val="center"/>
          </w:tcPr>
          <w:p w14:paraId="06AA9F6A">
            <w:pPr>
              <w:jc w:val="center"/>
              <w:rPr>
                <w:rFonts w:hint="eastAsia" w:ascii="宋体" w:hAnsi="宋体" w:eastAsia="宋体" w:cs="宋体"/>
                <w:i w:val="0"/>
                <w:iCs w:val="0"/>
                <w:color w:val="000000"/>
                <w:sz w:val="24"/>
                <w:szCs w:val="24"/>
                <w:u w:val="none"/>
              </w:rPr>
            </w:pPr>
          </w:p>
        </w:tc>
      </w:tr>
      <w:tr w14:paraId="0B3C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65" w:type="dxa"/>
            <w:shd w:val="clear" w:color="auto" w:fill="auto"/>
            <w:noWrap/>
            <w:vAlign w:val="center"/>
          </w:tcPr>
          <w:p w14:paraId="794533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应交金额(元)</w:t>
            </w:r>
          </w:p>
        </w:tc>
        <w:tc>
          <w:tcPr>
            <w:tcW w:w="3287" w:type="dxa"/>
            <w:shd w:val="clear" w:color="auto" w:fill="auto"/>
            <w:noWrap/>
            <w:vAlign w:val="center"/>
          </w:tcPr>
          <w:p w14:paraId="13B6FC61">
            <w:pPr>
              <w:jc w:val="center"/>
              <w:rPr>
                <w:rFonts w:hint="eastAsia" w:ascii="宋体" w:hAnsi="宋体" w:eastAsia="宋体" w:cs="宋体"/>
                <w:i w:val="0"/>
                <w:iCs w:val="0"/>
                <w:color w:val="000000"/>
                <w:sz w:val="24"/>
                <w:szCs w:val="24"/>
                <w:u w:val="none"/>
              </w:rPr>
            </w:pPr>
          </w:p>
        </w:tc>
        <w:tc>
          <w:tcPr>
            <w:tcW w:w="2889" w:type="dxa"/>
            <w:gridSpan w:val="3"/>
            <w:shd w:val="clear" w:color="auto" w:fill="auto"/>
            <w:noWrap/>
            <w:vAlign w:val="center"/>
          </w:tcPr>
          <w:p w14:paraId="3D67A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要求减免金额(元)</w:t>
            </w:r>
          </w:p>
        </w:tc>
        <w:tc>
          <w:tcPr>
            <w:tcW w:w="2099" w:type="dxa"/>
            <w:shd w:val="clear" w:color="auto" w:fill="auto"/>
            <w:noWrap/>
            <w:vAlign w:val="center"/>
          </w:tcPr>
          <w:p w14:paraId="7B54ABE4">
            <w:pPr>
              <w:jc w:val="center"/>
              <w:rPr>
                <w:rFonts w:hint="eastAsia" w:ascii="宋体" w:hAnsi="宋体" w:eastAsia="宋体" w:cs="宋体"/>
                <w:i w:val="0"/>
                <w:iCs w:val="0"/>
                <w:color w:val="000000"/>
                <w:sz w:val="24"/>
                <w:szCs w:val="24"/>
                <w:u w:val="none"/>
              </w:rPr>
            </w:pPr>
          </w:p>
        </w:tc>
      </w:tr>
      <w:tr w14:paraId="6021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765" w:type="dxa"/>
            <w:shd w:val="clear" w:color="auto" w:fill="auto"/>
            <w:noWrap/>
            <w:vAlign w:val="center"/>
          </w:tcPr>
          <w:p w14:paraId="28D13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要求减免理由</w:t>
            </w:r>
          </w:p>
        </w:tc>
        <w:tc>
          <w:tcPr>
            <w:tcW w:w="8275" w:type="dxa"/>
            <w:gridSpan w:val="5"/>
            <w:shd w:val="clear" w:color="auto" w:fill="auto"/>
            <w:vAlign w:val="center"/>
          </w:tcPr>
          <w:p w14:paraId="60FC7792">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r>
      <w:tr w14:paraId="6850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765" w:type="dxa"/>
            <w:shd w:val="clear" w:color="auto" w:fill="auto"/>
            <w:noWrap/>
            <w:vAlign w:val="center"/>
          </w:tcPr>
          <w:p w14:paraId="05C9C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审批意见</w:t>
            </w:r>
          </w:p>
        </w:tc>
        <w:tc>
          <w:tcPr>
            <w:tcW w:w="8275" w:type="dxa"/>
            <w:gridSpan w:val="5"/>
            <w:shd w:val="clear" w:color="auto" w:fill="auto"/>
            <w:noWrap/>
            <w:vAlign w:val="top"/>
          </w:tcPr>
          <w:p w14:paraId="62DCEE0D">
            <w:pPr>
              <w:jc w:val="both"/>
              <w:rPr>
                <w:rFonts w:hint="eastAsia" w:ascii="宋体" w:hAnsi="宋体" w:eastAsia="宋体" w:cs="宋体"/>
                <w:i w:val="0"/>
                <w:iCs w:val="0"/>
                <w:color w:val="000000"/>
                <w:kern w:val="0"/>
                <w:sz w:val="32"/>
                <w:szCs w:val="32"/>
                <w:u w:val="none"/>
                <w:lang w:val="en-US" w:eastAsia="zh-CN" w:bidi="ar"/>
              </w:rPr>
            </w:pPr>
          </w:p>
          <w:p w14:paraId="6AF8A20D">
            <w:pPr>
              <w:jc w:val="both"/>
              <w:rPr>
                <w:rFonts w:hint="default" w:ascii="宋体" w:hAnsi="宋体" w:eastAsia="宋体" w:cs="宋体"/>
                <w:i w:val="0"/>
                <w:iCs w:val="0"/>
                <w:color w:val="000000"/>
                <w:kern w:val="0"/>
                <w:sz w:val="32"/>
                <w:szCs w:val="32"/>
                <w:u w:val="single"/>
                <w:lang w:val="en-US" w:eastAsia="zh-CN" w:bidi="ar"/>
              </w:rPr>
            </w:pPr>
            <w:r>
              <w:rPr>
                <w:rFonts w:hint="eastAsia" w:ascii="宋体" w:hAnsi="宋体" w:eastAsia="宋体" w:cs="宋体"/>
                <w:i w:val="0"/>
                <w:iCs w:val="0"/>
                <w:color w:val="000000"/>
                <w:kern w:val="0"/>
                <w:sz w:val="24"/>
                <w:szCs w:val="24"/>
                <w:u w:val="none"/>
                <w:lang w:val="en-US" w:eastAsia="zh-CN" w:bidi="ar"/>
              </w:rPr>
              <w:t>经审核，同意该项目</w:t>
            </w:r>
            <w:r>
              <w:rPr>
                <w:rFonts w:hint="eastAsia" w:ascii="宋体" w:hAnsi="宋体" w:eastAsia="宋体" w:cs="宋体"/>
                <w:i w:val="0"/>
                <w:iCs w:val="0"/>
                <w:color w:val="000000"/>
                <w:kern w:val="0"/>
                <w:sz w:val="32"/>
                <w:szCs w:val="32"/>
                <w:u w:val="single"/>
                <w:lang w:val="en-US" w:eastAsia="zh-CN" w:bidi="ar"/>
              </w:rPr>
              <w:t xml:space="preserve">                          。</w:t>
            </w:r>
          </w:p>
          <w:p w14:paraId="43EBA9EA">
            <w:pPr>
              <w:keepNext w:val="0"/>
              <w:keepLines w:val="0"/>
              <w:widowControl/>
              <w:suppressLineNumbers w:val="0"/>
              <w:jc w:val="left"/>
              <w:textAlignment w:val="auto"/>
              <w:rPr>
                <w:rFonts w:hint="eastAsia" w:ascii="宋体" w:hAnsi="宋体" w:eastAsia="宋体" w:cs="宋体"/>
                <w:i w:val="0"/>
                <w:iCs w:val="0"/>
                <w:color w:val="000000"/>
                <w:kern w:val="0"/>
                <w:sz w:val="24"/>
                <w:szCs w:val="24"/>
                <w:u w:val="none"/>
                <w:lang w:val="en-US" w:eastAsia="zh-CN" w:bidi="ar"/>
              </w:rPr>
            </w:pPr>
          </w:p>
          <w:p w14:paraId="32A6B046">
            <w:pPr>
              <w:keepNext w:val="0"/>
              <w:keepLines w:val="0"/>
              <w:widowControl/>
              <w:suppressLineNumbers w:val="0"/>
              <w:jc w:val="left"/>
              <w:textAlignment w:val="auto"/>
              <w:rPr>
                <w:rFonts w:hint="eastAsia" w:ascii="宋体" w:hAnsi="宋体" w:eastAsia="宋体" w:cs="宋体"/>
                <w:i w:val="0"/>
                <w:iCs w:val="0"/>
                <w:color w:val="000000"/>
                <w:kern w:val="0"/>
                <w:sz w:val="24"/>
                <w:szCs w:val="24"/>
                <w:u w:val="none"/>
                <w:lang w:val="en-US" w:eastAsia="zh-CN" w:bidi="ar"/>
              </w:rPr>
            </w:pPr>
          </w:p>
          <w:p w14:paraId="14B48583">
            <w:pPr>
              <w:keepNext w:val="0"/>
              <w:keepLines w:val="0"/>
              <w:widowControl/>
              <w:suppressLineNumbers w:val="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              审核：                  局领导：    </w:t>
            </w:r>
          </w:p>
        </w:tc>
      </w:tr>
      <w:tr w14:paraId="7BB1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765" w:type="dxa"/>
            <w:shd w:val="clear" w:color="auto" w:fill="auto"/>
            <w:noWrap/>
            <w:vAlign w:val="center"/>
          </w:tcPr>
          <w:p w14:paraId="028A7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   件</w:t>
            </w:r>
          </w:p>
        </w:tc>
        <w:tc>
          <w:tcPr>
            <w:tcW w:w="8275" w:type="dxa"/>
            <w:gridSpan w:val="5"/>
            <w:shd w:val="clear" w:color="auto" w:fill="auto"/>
            <w:vAlign w:val="center"/>
          </w:tcPr>
          <w:p w14:paraId="36F21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7EDA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40" w:type="dxa"/>
            <w:gridSpan w:val="6"/>
            <w:vMerge w:val="restart"/>
            <w:shd w:val="clear" w:color="auto" w:fill="auto"/>
            <w:noWrap/>
            <w:vAlign w:val="center"/>
          </w:tcPr>
          <w:p w14:paraId="321D8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此表可从三明市住房和城乡建设局网站(http://zjj.sm.gov.cn/)材料下载处下载</w:t>
            </w:r>
          </w:p>
        </w:tc>
      </w:tr>
      <w:tr w14:paraId="2903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040" w:type="dxa"/>
            <w:gridSpan w:val="6"/>
            <w:vMerge w:val="continue"/>
            <w:shd w:val="clear" w:color="auto" w:fill="auto"/>
            <w:noWrap/>
            <w:vAlign w:val="center"/>
          </w:tcPr>
          <w:p w14:paraId="1AB536F8">
            <w:pPr>
              <w:jc w:val="center"/>
              <w:rPr>
                <w:rFonts w:hint="eastAsia" w:ascii="宋体" w:hAnsi="宋体" w:eastAsia="宋体" w:cs="宋体"/>
                <w:i w:val="0"/>
                <w:iCs w:val="0"/>
                <w:color w:val="000000"/>
                <w:sz w:val="24"/>
                <w:szCs w:val="24"/>
                <w:u w:val="none"/>
              </w:rPr>
            </w:pPr>
          </w:p>
        </w:tc>
      </w:tr>
    </w:tbl>
    <w:p w14:paraId="20996BBD">
      <w:pPr>
        <w:spacing w:line="500" w:lineRule="exact"/>
        <w:rPr>
          <w:rFonts w:ascii="仿宋_GB2312"/>
          <w:sz w:val="32"/>
          <w:szCs w:val="32"/>
        </w:rPr>
      </w:pPr>
    </w:p>
    <w:sectPr>
      <w:footerReference r:id="rId3" w:type="default"/>
      <w:footerReference r:id="rId4" w:type="even"/>
      <w:pgSz w:w="11906" w:h="16838"/>
      <w:pgMar w:top="1191" w:right="1531" w:bottom="1077" w:left="1304" w:header="851" w:footer="1588" w:gutter="0"/>
      <w:pgNumType w:fmt="numberInDash"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30DF">
    <w:pPr>
      <w:pStyle w:val="4"/>
      <w:jc w:val="right"/>
    </w:pPr>
    <w:r>
      <w:fldChar w:fldCharType="begin"/>
    </w:r>
    <w:r>
      <w:instrText xml:space="preserve"> PAGE   \* MERGEFORMAT </w:instrText>
    </w:r>
    <w:r>
      <w:fldChar w:fldCharType="separate"/>
    </w:r>
    <w:r>
      <w:rPr>
        <w:lang w:val="zh-CN"/>
      </w:rPr>
      <w:t>-</w:t>
    </w:r>
    <w:r>
      <w:t xml:space="preserve"> 2 -</w:t>
    </w:r>
    <w:r>
      <w:fldChar w:fldCharType="end"/>
    </w:r>
  </w:p>
  <w:p w14:paraId="16426AEA">
    <w:pPr>
      <w:pStyle w:val="4"/>
      <w:wordWrap w:val="0"/>
      <w:ind w:right="360"/>
      <w:jc w:val="right"/>
      <w:rPr>
        <w:rFonts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F677">
    <w:pPr>
      <w:pStyle w:val="4"/>
      <w:jc w:val="right"/>
    </w:pPr>
    <w:r>
      <w:fldChar w:fldCharType="begin"/>
    </w:r>
    <w:r>
      <w:instrText xml:space="preserve"> PAGE   \* MERGEFORMAT </w:instrText>
    </w:r>
    <w:r>
      <w:fldChar w:fldCharType="separate"/>
    </w:r>
    <w:r>
      <w:rPr>
        <w:lang w:val="zh-CN"/>
      </w:rPr>
      <w:t>2</w:t>
    </w:r>
    <w:r>
      <w:rPr>
        <w:lang w:val="zh-CN"/>
      </w:rPr>
      <w:fldChar w:fldCharType="end"/>
    </w:r>
  </w:p>
  <w:p w14:paraId="314D1219">
    <w:pPr>
      <w:pStyle w:val="4"/>
      <w:ind w:right="360" w:firstLine="280" w:firstLineChars="100"/>
      <w:rPr>
        <w:rFonts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53"/>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3196"/>
    <w:rsid w:val="001403F7"/>
    <w:rsid w:val="00164A50"/>
    <w:rsid w:val="00172A27"/>
    <w:rsid w:val="001B0644"/>
    <w:rsid w:val="001D0407"/>
    <w:rsid w:val="002063AC"/>
    <w:rsid w:val="002257CD"/>
    <w:rsid w:val="00266787"/>
    <w:rsid w:val="00270B91"/>
    <w:rsid w:val="00275C8A"/>
    <w:rsid w:val="0029659C"/>
    <w:rsid w:val="002C0AE2"/>
    <w:rsid w:val="00310E5C"/>
    <w:rsid w:val="003113B8"/>
    <w:rsid w:val="003657DA"/>
    <w:rsid w:val="003C461A"/>
    <w:rsid w:val="003D6896"/>
    <w:rsid w:val="00411120"/>
    <w:rsid w:val="00411F96"/>
    <w:rsid w:val="00434E66"/>
    <w:rsid w:val="004B0724"/>
    <w:rsid w:val="004B20CE"/>
    <w:rsid w:val="004D2B36"/>
    <w:rsid w:val="004E24B1"/>
    <w:rsid w:val="005D5EAA"/>
    <w:rsid w:val="00666D66"/>
    <w:rsid w:val="00711967"/>
    <w:rsid w:val="00716C85"/>
    <w:rsid w:val="00744366"/>
    <w:rsid w:val="008130C5"/>
    <w:rsid w:val="00820664"/>
    <w:rsid w:val="008901F6"/>
    <w:rsid w:val="008A7495"/>
    <w:rsid w:val="008C6317"/>
    <w:rsid w:val="008D6B29"/>
    <w:rsid w:val="008F1A7F"/>
    <w:rsid w:val="00901D41"/>
    <w:rsid w:val="00980A71"/>
    <w:rsid w:val="009941EF"/>
    <w:rsid w:val="009A1081"/>
    <w:rsid w:val="009D7E68"/>
    <w:rsid w:val="00A141BC"/>
    <w:rsid w:val="00A179E6"/>
    <w:rsid w:val="00A6065D"/>
    <w:rsid w:val="00A6562B"/>
    <w:rsid w:val="00AD434D"/>
    <w:rsid w:val="00AF22B2"/>
    <w:rsid w:val="00C33498"/>
    <w:rsid w:val="00CA3AB8"/>
    <w:rsid w:val="00CC3886"/>
    <w:rsid w:val="00D13964"/>
    <w:rsid w:val="00D446E8"/>
    <w:rsid w:val="00D91F39"/>
    <w:rsid w:val="00DE0C5D"/>
    <w:rsid w:val="00DF5347"/>
    <w:rsid w:val="00E21977"/>
    <w:rsid w:val="00E63979"/>
    <w:rsid w:val="00E8454C"/>
    <w:rsid w:val="00E96293"/>
    <w:rsid w:val="00EA5B6F"/>
    <w:rsid w:val="00EC0376"/>
    <w:rsid w:val="00ED2830"/>
    <w:rsid w:val="00EE5DE8"/>
    <w:rsid w:val="00EF2CD8"/>
    <w:rsid w:val="00F069CE"/>
    <w:rsid w:val="00F11853"/>
    <w:rsid w:val="00F23363"/>
    <w:rsid w:val="00F26D16"/>
    <w:rsid w:val="00F44BB7"/>
    <w:rsid w:val="00F50E4D"/>
    <w:rsid w:val="00F74003"/>
    <w:rsid w:val="01777F12"/>
    <w:rsid w:val="0241242E"/>
    <w:rsid w:val="03AE3AF3"/>
    <w:rsid w:val="0584461F"/>
    <w:rsid w:val="08174457"/>
    <w:rsid w:val="0A5663E4"/>
    <w:rsid w:val="0ACF434F"/>
    <w:rsid w:val="0D0A2C5E"/>
    <w:rsid w:val="0DBE28DC"/>
    <w:rsid w:val="0E1327A4"/>
    <w:rsid w:val="0E7E2314"/>
    <w:rsid w:val="0F0767AD"/>
    <w:rsid w:val="0FAA73A1"/>
    <w:rsid w:val="10687DDF"/>
    <w:rsid w:val="10B15DC1"/>
    <w:rsid w:val="130A7A9E"/>
    <w:rsid w:val="13C43686"/>
    <w:rsid w:val="15CE592F"/>
    <w:rsid w:val="161B42D9"/>
    <w:rsid w:val="16EB2A81"/>
    <w:rsid w:val="16F2389F"/>
    <w:rsid w:val="182E283E"/>
    <w:rsid w:val="18401BDE"/>
    <w:rsid w:val="186A1692"/>
    <w:rsid w:val="186D1C40"/>
    <w:rsid w:val="18F27B86"/>
    <w:rsid w:val="1B7A20B5"/>
    <w:rsid w:val="1D8F1E47"/>
    <w:rsid w:val="242E7F58"/>
    <w:rsid w:val="25690050"/>
    <w:rsid w:val="29763EBB"/>
    <w:rsid w:val="2C2E4F21"/>
    <w:rsid w:val="2D010DCE"/>
    <w:rsid w:val="2D9E4FD0"/>
    <w:rsid w:val="30911F89"/>
    <w:rsid w:val="387A15F1"/>
    <w:rsid w:val="390C05E9"/>
    <w:rsid w:val="3C4165AB"/>
    <w:rsid w:val="3D8F5DE8"/>
    <w:rsid w:val="3E9B6FAC"/>
    <w:rsid w:val="40A565A2"/>
    <w:rsid w:val="42303B5B"/>
    <w:rsid w:val="45A02594"/>
    <w:rsid w:val="46A2233C"/>
    <w:rsid w:val="48D800B0"/>
    <w:rsid w:val="49AA1C33"/>
    <w:rsid w:val="4B6B0790"/>
    <w:rsid w:val="4BA359B2"/>
    <w:rsid w:val="4C441025"/>
    <w:rsid w:val="4D816BCF"/>
    <w:rsid w:val="4DB75623"/>
    <w:rsid w:val="4DD92AE7"/>
    <w:rsid w:val="4F223190"/>
    <w:rsid w:val="50F75EC0"/>
    <w:rsid w:val="51F327DE"/>
    <w:rsid w:val="521C5BFD"/>
    <w:rsid w:val="54633E0D"/>
    <w:rsid w:val="55527E63"/>
    <w:rsid w:val="55B9034A"/>
    <w:rsid w:val="57672F12"/>
    <w:rsid w:val="581F01D7"/>
    <w:rsid w:val="59DE547D"/>
    <w:rsid w:val="59FC6029"/>
    <w:rsid w:val="5E1940ED"/>
    <w:rsid w:val="5EA67346"/>
    <w:rsid w:val="5F7FD0AB"/>
    <w:rsid w:val="602403A1"/>
    <w:rsid w:val="60F70D77"/>
    <w:rsid w:val="627611D1"/>
    <w:rsid w:val="64124205"/>
    <w:rsid w:val="6457430E"/>
    <w:rsid w:val="66E71979"/>
    <w:rsid w:val="69F14174"/>
    <w:rsid w:val="6AF52272"/>
    <w:rsid w:val="6BAF387A"/>
    <w:rsid w:val="6FC42292"/>
    <w:rsid w:val="71504A44"/>
    <w:rsid w:val="72E858EF"/>
    <w:rsid w:val="730B5755"/>
    <w:rsid w:val="735D6361"/>
    <w:rsid w:val="75400AFF"/>
    <w:rsid w:val="7F621E96"/>
    <w:rsid w:val="FEFF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customStyle="1" w:styleId="10">
    <w:name w:val="批注框文本 Char"/>
    <w:basedOn w:val="8"/>
    <w:link w:val="3"/>
    <w:qFormat/>
    <w:uiPriority w:val="0"/>
    <w:rPr>
      <w:rFonts w:ascii="宋体" w:hAnsi="宋体" w:eastAsia="仿宋_GB2312" w:cs="宋体"/>
      <w:kern w:val="2"/>
      <w:sz w:val="18"/>
      <w:szCs w:val="18"/>
    </w:rPr>
  </w:style>
  <w:style w:type="character" w:customStyle="1" w:styleId="11">
    <w:name w:val="页脚 Char"/>
    <w:basedOn w:val="8"/>
    <w:link w:val="4"/>
    <w:qFormat/>
    <w:uiPriority w:val="99"/>
    <w:rPr>
      <w:rFonts w:ascii="宋体" w:hAnsi="宋体" w:eastAsia="仿宋_GB2312" w:cs="宋体"/>
      <w:kern w:val="2"/>
      <w:sz w:val="18"/>
      <w:szCs w:val="18"/>
    </w:rPr>
  </w:style>
  <w:style w:type="paragraph" w:customStyle="1" w:styleId="12">
    <w:name w:val="列出段落1"/>
    <w:basedOn w:val="1"/>
    <w:qFormat/>
    <w:uiPriority w:val="34"/>
    <w:pPr>
      <w:ind w:firstLine="420" w:firstLineChars="200"/>
    </w:pPr>
  </w:style>
  <w:style w:type="paragraph" w:customStyle="1" w:styleId="13">
    <w:name w:val="p0"/>
    <w:basedOn w:val="1"/>
    <w:qFormat/>
    <w:uiPriority w:val="0"/>
    <w:pPr>
      <w:widowControl/>
    </w:pPr>
    <w:rPr>
      <w:rFonts w:ascii="Calibri" w:hAnsi="Calibri" w:eastAsia="宋体" w:cs="Calibri"/>
      <w:kern w:val="0"/>
      <w:sz w:val="21"/>
      <w:szCs w:val="21"/>
    </w:rPr>
  </w:style>
  <w:style w:type="character" w:customStyle="1" w:styleId="14">
    <w:name w:val="日期 Char"/>
    <w:basedOn w:val="8"/>
    <w:link w:val="2"/>
    <w:qFormat/>
    <w:uiPriority w:val="0"/>
    <w:rPr>
      <w:rFonts w:ascii="宋体" w:hAnsi="宋体" w:eastAsia="仿宋_GB2312" w:cs="宋体"/>
      <w:kern w:val="2"/>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83E4-07AD-4B63-973F-5EA04E700EC9}">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2693</Words>
  <Characters>2763</Characters>
  <Lines>23</Lines>
  <Paragraphs>6</Paragraphs>
  <TotalTime>5</TotalTime>
  <ScaleCrop>false</ScaleCrop>
  <LinksUpToDate>false</LinksUpToDate>
  <CharactersWithSpaces>2953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2021-12-10T03:40:00Z</dcterms:created>
  <dc:creator>smzjjbgs2</dc:creator>
  <cp:lastModifiedBy>WPS_1479835673</cp:lastModifiedBy>
  <cp:lastPrinted>2025-07-18T02:43:00Z</cp:lastPrinted>
  <dcterms:modified xsi:type="dcterms:W3CDTF">2025-08-06T08:54:32Z</dcterms:modified>
  <dc:title>明政文〔2013〕号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eyJoZGlkIjoiZjJmMzQ0MDIxMTM1Mjk4MjQ0MGRlNDYxYzM1ODJkNjQiLCJ1c2VySWQiOiIyNTI4NTE4NjQifQ==</vt:lpwstr>
  </property>
  <property fmtid="{D5CDD505-2E9C-101B-9397-08002B2CF9AE}" pid="4" name="ICV">
    <vt:lpwstr>4F42A8B10D894949AC703A97564FF7EC_12</vt:lpwstr>
  </property>
</Properties>
</file>