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93219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0"/>
          <w:szCs w:val="40"/>
          <w:lang w:val="en-US" w:eastAsia="zh-CN"/>
        </w:rPr>
      </w:pPr>
    </w:p>
    <w:p w14:paraId="574FCAE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color w:val="auto"/>
          <w:sz w:val="40"/>
          <w:szCs w:val="40"/>
          <w:lang w:val="en-US" w:eastAsia="zh-CN"/>
        </w:rPr>
      </w:pPr>
      <w:r>
        <w:rPr>
          <w:rFonts w:hint="eastAsia" w:ascii="方正小标宋简体" w:hAnsi="方正小标宋简体" w:eastAsia="方正小标宋简体" w:cs="方正小标宋简体"/>
          <w:color w:val="auto"/>
          <w:sz w:val="40"/>
          <w:szCs w:val="40"/>
          <w:lang w:val="en-US" w:eastAsia="zh-CN"/>
        </w:rPr>
        <w:t>《</w:t>
      </w:r>
      <w:r>
        <w:rPr>
          <w:rFonts w:hint="eastAsia" w:ascii="方正小标宋简体" w:hAnsi="方正小标宋简体" w:eastAsia="方正小标宋简体" w:cs="方正小标宋简体"/>
          <w:sz w:val="40"/>
          <w:szCs w:val="40"/>
          <w:lang w:val="en-US" w:eastAsia="zh-CN"/>
        </w:rPr>
        <w:t>关于</w:t>
      </w:r>
      <w:r>
        <w:rPr>
          <w:rFonts w:hint="eastAsia" w:ascii="方正小标宋简体" w:eastAsia="方正小标宋简体"/>
          <w:sz w:val="40"/>
          <w:szCs w:val="40"/>
          <w:lang w:val="en-US" w:eastAsia="zh-CN"/>
        </w:rPr>
        <w:t>三元区</w:t>
      </w:r>
      <w:r>
        <w:rPr>
          <w:rFonts w:hint="eastAsia" w:ascii="方正小标宋简体" w:hAnsi="方正小标宋简体" w:eastAsia="方正小标宋简体" w:cs="方正小标宋简体"/>
          <w:sz w:val="40"/>
          <w:szCs w:val="40"/>
          <w:lang w:val="en-US" w:eastAsia="zh-CN"/>
        </w:rPr>
        <w:t>办理已售公有住房全部产权</w:t>
      </w:r>
      <w:r>
        <w:rPr>
          <w:rFonts w:hint="eastAsia" w:ascii="方正小标宋简体" w:hAnsi="方正小标宋简体" w:eastAsia="方正小标宋简体" w:cs="方正小标宋简体"/>
          <w:sz w:val="40"/>
          <w:szCs w:val="40"/>
          <w:lang w:val="en-US" w:eastAsia="zh-CN"/>
        </w:rPr>
        <w:br w:type="textWrapping"/>
      </w:r>
      <w:r>
        <w:rPr>
          <w:rFonts w:hint="eastAsia" w:ascii="方正小标宋简体" w:hAnsi="方正小标宋简体" w:eastAsia="方正小标宋简体" w:cs="方正小标宋简体"/>
          <w:sz w:val="40"/>
          <w:szCs w:val="40"/>
          <w:lang w:val="en-US" w:eastAsia="zh-CN"/>
        </w:rPr>
        <w:t>衔接遗留问题的通知</w:t>
      </w:r>
      <w:r>
        <w:rPr>
          <w:rFonts w:hint="eastAsia" w:ascii="方正小标宋简体" w:hAnsi="方正小标宋简体" w:eastAsia="方正小标宋简体" w:cs="方正小标宋简体"/>
          <w:color w:val="auto"/>
          <w:sz w:val="40"/>
          <w:szCs w:val="40"/>
          <w:lang w:val="en-US" w:eastAsia="zh-CN"/>
        </w:rPr>
        <w:t>》起草说明</w:t>
      </w:r>
    </w:p>
    <w:p w14:paraId="5F518276">
      <w:pPr>
        <w:jc w:val="center"/>
        <w:rPr>
          <w:rFonts w:hint="eastAsia" w:ascii="仿宋" w:hAnsi="仿宋" w:eastAsia="仿宋" w:cs="仿宋"/>
          <w:color w:val="auto"/>
          <w:sz w:val="30"/>
          <w:szCs w:val="30"/>
          <w:lang w:val="en-US" w:eastAsia="zh-CN"/>
        </w:rPr>
      </w:pPr>
    </w:p>
    <w:p w14:paraId="04A60C09">
      <w:pPr>
        <w:keepNext w:val="0"/>
        <w:keepLines w:val="0"/>
        <w:pageBreakBefore w:val="0"/>
        <w:widowControl w:val="0"/>
        <w:suppressLineNumbers w:val="0"/>
        <w:kinsoku/>
        <w:overflowPunct/>
        <w:topLinePunct w:val="0"/>
        <w:autoSpaceDE w:val="0"/>
        <w:autoSpaceDN/>
        <w:bidi w:val="0"/>
        <w:adjustRightInd w:val="0"/>
        <w:snapToGrid w:val="0"/>
        <w:spacing w:before="0" w:beforeAutospacing="0" w:after="0" w:afterAutospacing="0" w:line="560" w:lineRule="exact"/>
        <w:ind w:left="0" w:right="0"/>
        <w:jc w:val="both"/>
        <w:textAlignment w:val="auto"/>
        <w:rPr>
          <w:rFonts w:hint="eastAsia" w:ascii="仿宋_GB2312" w:hAnsi="Calibri" w:eastAsia="仿宋_GB2312" w:cs="仿宋_GB2312"/>
          <w:color w:val="auto"/>
          <w:kern w:val="0"/>
          <w:sz w:val="32"/>
          <w:szCs w:val="32"/>
          <w:lang w:val="en-US" w:eastAsia="zh-CN" w:bidi="ar"/>
        </w:rPr>
      </w:pPr>
    </w:p>
    <w:p w14:paraId="4D4B8A76">
      <w:pPr>
        <w:keepNext w:val="0"/>
        <w:keepLines w:val="0"/>
        <w:pageBreakBefore w:val="0"/>
        <w:widowControl w:val="0"/>
        <w:numPr>
          <w:ilvl w:val="0"/>
          <w:numId w:val="0"/>
        </w:numPr>
        <w:kinsoku/>
        <w:overflowPunct/>
        <w:topLinePunct w:val="0"/>
        <w:autoSpaceDN/>
        <w:bidi w:val="0"/>
        <w:spacing w:line="560" w:lineRule="exact"/>
        <w:ind w:left="0" w:leftChars="0" w:firstLine="640" w:firstLineChars="200"/>
        <w:jc w:val="left"/>
        <w:textAlignment w:val="auto"/>
        <w:rPr>
          <w:rFonts w:hint="eastAsia" w:ascii="黑体" w:hAnsi="黑体" w:eastAsia="黑体" w:cs="黑体"/>
          <w:b w:val="0"/>
          <w:bCs w:val="0"/>
          <w:color w:val="auto"/>
          <w:kern w:val="2"/>
          <w:sz w:val="32"/>
          <w:szCs w:val="32"/>
          <w:lang w:val="en-US" w:eastAsia="zh-CN" w:bidi="ar"/>
        </w:rPr>
      </w:pPr>
      <w:r>
        <w:rPr>
          <w:rFonts w:hint="eastAsia" w:ascii="黑体" w:hAnsi="黑体" w:eastAsia="黑体" w:cs="黑体"/>
          <w:b w:val="0"/>
          <w:bCs w:val="0"/>
          <w:color w:val="auto"/>
          <w:kern w:val="2"/>
          <w:sz w:val="32"/>
          <w:szCs w:val="32"/>
          <w:lang w:val="en-US" w:eastAsia="zh-CN" w:bidi="ar"/>
        </w:rPr>
        <w:t>一、制定的必要性和可行性</w:t>
      </w:r>
    </w:p>
    <w:p w14:paraId="71803406">
      <w:pPr>
        <w:ind w:firstLine="640" w:firstLineChars="200"/>
        <w:rPr>
          <w:rFonts w:hint="eastAsia" w:ascii="仿宋_GB2312" w:hAnsi="仿宋" w:eastAsia="仿宋_GB2312" w:cs="Times New Roman"/>
          <w:color w:val="auto"/>
          <w:kern w:val="2"/>
          <w:sz w:val="32"/>
          <w:szCs w:val="32"/>
          <w:lang w:val="en-US" w:eastAsia="zh-CN" w:bidi="ar"/>
        </w:rPr>
      </w:pPr>
      <w:r>
        <w:rPr>
          <w:rFonts w:hint="eastAsia" w:ascii="仿宋_GB2312" w:hAnsi="仿宋" w:eastAsia="仿宋_GB2312" w:cs="Times New Roman"/>
          <w:color w:val="auto"/>
          <w:kern w:val="2"/>
          <w:sz w:val="32"/>
          <w:szCs w:val="32"/>
          <w:lang w:val="en-US" w:eastAsia="zh-CN" w:bidi="ar"/>
        </w:rPr>
        <w:t>1997年市政府印发的《三明市区已售公有住房衔接实施办法》，为三明市区1993年已缴购房款的购房户办理房改房衔接确权工作提供了依据。经过二十多年，房改后续工作业务量虽逐年减少，但仍有需求。近期售房单位和群众关于房改房全部产权衔接的问题反映增多，部分购房人陆续离世，相关工作出现新情况，需制定出台相关规范性文件以作为提供公共服务的依据。</w:t>
      </w:r>
    </w:p>
    <w:p w14:paraId="079049D7">
      <w:pPr>
        <w:ind w:firstLine="640" w:firstLineChars="200"/>
        <w:rPr>
          <w:rFonts w:hint="eastAsia" w:ascii="仿宋_GB2312" w:hAnsi="仿宋" w:eastAsia="仿宋_GB2312" w:cs="Times New Roman"/>
          <w:color w:val="auto"/>
          <w:kern w:val="2"/>
          <w:sz w:val="32"/>
          <w:szCs w:val="32"/>
          <w:lang w:val="en-US" w:eastAsia="zh-CN" w:bidi="ar"/>
        </w:rPr>
      </w:pPr>
      <w:r>
        <w:rPr>
          <w:rFonts w:hint="eastAsia" w:ascii="仿宋_GB2312" w:hAnsi="仿宋" w:eastAsia="仿宋_GB2312" w:cs="Times New Roman"/>
          <w:color w:val="auto"/>
          <w:kern w:val="2"/>
          <w:sz w:val="32"/>
          <w:szCs w:val="32"/>
          <w:lang w:val="en-US" w:eastAsia="zh-CN" w:bidi="ar"/>
        </w:rPr>
        <w:t>为妥善解决房改遗留问题，根据《国务院关于促进房地产市场持续健康发展的通知》（国发〔2003〕18号）和《福建省人民政府办公厅转发省房改办、省财政厅关于机关事业单位剩余公有住房处理意见的通知》（闽政办〔2002〕90号）等政策精神，结合原有做法和我市最新实际情况，市住建局牵头起草了《关于三元区办理已售公有住房全部产权衔接遗留问题的通知》。</w:t>
      </w:r>
    </w:p>
    <w:p w14:paraId="51CDFCFE">
      <w:pPr>
        <w:keepNext w:val="0"/>
        <w:keepLines w:val="0"/>
        <w:pageBreakBefore w:val="0"/>
        <w:widowControl w:val="0"/>
        <w:numPr>
          <w:ilvl w:val="0"/>
          <w:numId w:val="0"/>
        </w:numPr>
        <w:kinsoku/>
        <w:overflowPunct/>
        <w:topLinePunct w:val="0"/>
        <w:autoSpaceDN/>
        <w:bidi w:val="0"/>
        <w:spacing w:line="560" w:lineRule="exact"/>
        <w:ind w:left="0" w:leftChars="0" w:firstLine="640" w:firstLineChars="200"/>
        <w:jc w:val="left"/>
        <w:textAlignment w:val="auto"/>
        <w:rPr>
          <w:rFonts w:hint="eastAsia" w:ascii="黑体" w:hAnsi="黑体" w:eastAsia="黑体" w:cs="黑体"/>
          <w:b w:val="0"/>
          <w:bCs w:val="0"/>
          <w:color w:val="auto"/>
          <w:kern w:val="2"/>
          <w:sz w:val="32"/>
          <w:szCs w:val="32"/>
          <w:lang w:val="en-US" w:eastAsia="zh-CN" w:bidi="ar"/>
        </w:rPr>
      </w:pPr>
      <w:r>
        <w:rPr>
          <w:rFonts w:hint="eastAsia" w:ascii="黑体" w:hAnsi="黑体" w:eastAsia="黑体" w:cs="黑体"/>
          <w:b w:val="0"/>
          <w:bCs w:val="0"/>
          <w:color w:val="auto"/>
          <w:kern w:val="2"/>
          <w:sz w:val="32"/>
          <w:szCs w:val="32"/>
          <w:lang w:val="en-US" w:eastAsia="zh-CN" w:bidi="ar"/>
        </w:rPr>
        <w:t>二、主要内容</w:t>
      </w:r>
    </w:p>
    <w:p w14:paraId="27B91AFC">
      <w:pPr>
        <w:ind w:firstLine="640" w:firstLineChars="200"/>
        <w:rPr>
          <w:rFonts w:hint="eastAsia" w:ascii="仿宋_GB2312" w:hAnsi="仿宋_GB2312" w:eastAsia="仿宋_GB2312" w:cs="仿宋_GB2312"/>
          <w:color w:val="auto"/>
          <w:sz w:val="31"/>
          <w:szCs w:val="31"/>
          <w:lang w:val="en-US" w:eastAsia="zh-CN"/>
        </w:rPr>
      </w:pPr>
      <w:r>
        <w:rPr>
          <w:rFonts w:hint="eastAsia" w:ascii="楷体" w:hAnsi="楷体" w:eastAsia="楷体" w:cs="楷体"/>
          <w:color w:val="auto"/>
          <w:kern w:val="2"/>
          <w:sz w:val="32"/>
          <w:szCs w:val="32"/>
          <w:lang w:val="en-US" w:eastAsia="zh-CN" w:bidi="ar"/>
        </w:rPr>
        <w:t>（一）适用范围。</w:t>
      </w:r>
      <w:r>
        <w:rPr>
          <w:rFonts w:hint="eastAsia" w:ascii="仿宋_GB2312" w:hAnsi="仿宋" w:eastAsia="仿宋_GB2312" w:cs="Times New Roman"/>
          <w:color w:val="auto"/>
          <w:kern w:val="2"/>
          <w:sz w:val="32"/>
          <w:szCs w:val="32"/>
          <w:lang w:val="en-US" w:eastAsia="zh-CN" w:bidi="ar"/>
        </w:rPr>
        <w:t>一是1993年</w:t>
      </w:r>
      <w:r>
        <w:rPr>
          <w:rFonts w:hint="eastAsia" w:ascii="仿宋_GB2312" w:hAnsi="仿宋_GB2312" w:eastAsia="仿宋_GB2312" w:cs="仿宋_GB2312"/>
          <w:color w:val="auto"/>
          <w:sz w:val="31"/>
          <w:szCs w:val="31"/>
          <w:lang w:val="en-US" w:eastAsia="zh-CN"/>
        </w:rPr>
        <w:t>已缴购房款但尚未办理房改衔接的购房户，</w:t>
      </w:r>
      <w:r>
        <w:rPr>
          <w:rFonts w:hint="eastAsia" w:ascii="仿宋_GB2312" w:hAnsi="Calibri" w:eastAsia="仿宋_GB2312" w:cs="仿宋_GB2312"/>
          <w:b w:val="0"/>
          <w:bCs w:val="0"/>
          <w:color w:val="auto"/>
          <w:kern w:val="2"/>
          <w:sz w:val="32"/>
          <w:szCs w:val="32"/>
          <w:lang w:val="en-US" w:eastAsia="zh-CN" w:bidi="ar"/>
        </w:rPr>
        <w:t>二是已</w:t>
      </w:r>
      <w:r>
        <w:rPr>
          <w:rFonts w:hint="eastAsia" w:ascii="仿宋_GB2312" w:hAnsi="仿宋_GB2312" w:eastAsia="仿宋_GB2312" w:cs="仿宋_GB2312"/>
          <w:b w:val="0"/>
          <w:bCs w:val="0"/>
          <w:color w:val="auto"/>
          <w:sz w:val="31"/>
          <w:szCs w:val="31"/>
          <w:lang w:val="en-US" w:eastAsia="zh-CN"/>
        </w:rPr>
        <w:t>拥有部分产权，要求取得全部产权的购</w:t>
      </w:r>
      <w:r>
        <w:rPr>
          <w:rFonts w:hint="eastAsia" w:ascii="仿宋_GB2312" w:hAnsi="仿宋_GB2312" w:eastAsia="仿宋_GB2312" w:cs="仿宋_GB2312"/>
          <w:color w:val="auto"/>
          <w:sz w:val="31"/>
          <w:szCs w:val="31"/>
          <w:lang w:val="en-US" w:eastAsia="zh-CN"/>
        </w:rPr>
        <w:t>房户</w:t>
      </w:r>
      <w:r>
        <w:rPr>
          <w:rFonts w:hint="eastAsia" w:ascii="仿宋_GB2312" w:hAnsi="Calibri" w:eastAsia="仿宋_GB2312" w:cs="仿宋_GB2312"/>
          <w:color w:val="auto"/>
          <w:kern w:val="2"/>
          <w:sz w:val="32"/>
          <w:szCs w:val="32"/>
          <w:lang w:val="en-US" w:eastAsia="zh-CN" w:bidi="ar"/>
        </w:rPr>
        <w:t>。</w:t>
      </w:r>
    </w:p>
    <w:p w14:paraId="3FF43BD7">
      <w:pPr>
        <w:ind w:firstLine="640" w:firstLineChars="200"/>
        <w:rPr>
          <w:rFonts w:hint="eastAsia" w:ascii="仿宋_GB2312" w:hAnsi="仿宋_GB2312" w:eastAsia="仿宋_GB2312" w:cs="仿宋_GB2312"/>
          <w:color w:val="auto"/>
          <w:sz w:val="31"/>
          <w:szCs w:val="31"/>
          <w:lang w:val="en-US" w:eastAsia="zh-CN"/>
        </w:rPr>
      </w:pPr>
      <w:r>
        <w:rPr>
          <w:rFonts w:hint="eastAsia" w:ascii="楷体" w:hAnsi="楷体" w:eastAsia="楷体" w:cs="楷体"/>
          <w:color w:val="auto"/>
          <w:kern w:val="2"/>
          <w:sz w:val="32"/>
          <w:szCs w:val="32"/>
          <w:lang w:val="en-US" w:eastAsia="zh-CN" w:bidi="ar"/>
        </w:rPr>
        <w:t>（二）价格确定。</w:t>
      </w:r>
      <w:r>
        <w:rPr>
          <w:rFonts w:hint="eastAsia" w:ascii="仿宋_GB2312" w:hAnsi="仿宋_GB2312" w:eastAsia="仿宋_GB2312" w:cs="仿宋_GB2312"/>
          <w:color w:val="auto"/>
          <w:sz w:val="31"/>
          <w:szCs w:val="31"/>
          <w:lang w:val="en-US" w:eastAsia="zh-CN"/>
        </w:rPr>
        <w:t>标内建</w:t>
      </w:r>
      <w:bookmarkStart w:id="0" w:name="_GoBack"/>
      <w:bookmarkEnd w:id="0"/>
      <w:r>
        <w:rPr>
          <w:rFonts w:hint="eastAsia" w:ascii="仿宋_GB2312" w:hAnsi="仿宋_GB2312" w:eastAsia="仿宋_GB2312" w:cs="仿宋_GB2312"/>
          <w:color w:val="auto"/>
          <w:sz w:val="31"/>
          <w:szCs w:val="31"/>
          <w:lang w:val="en-US" w:eastAsia="zh-CN"/>
        </w:rPr>
        <w:t>筑面积部分按成本价计算，超标建筑面积部分按同地段同类商品房价计算。1993年缴款后未衔接确权的，应缴款金额按售房款扣减已缴款额确定；已取得部分产权的，应缴款金额按补购产权的比例确定。售房当年的成本价，在2010年市政府明政文〔2010〕54号文件规定的成本价基础上逐年增加5%确定，同地段同类商品房价由售房单位委托有资质的房地产评估机构评估确定。</w:t>
      </w:r>
    </w:p>
    <w:p w14:paraId="7083FC59">
      <w:pPr>
        <w:ind w:firstLine="640" w:firstLineChars="200"/>
        <w:rPr>
          <w:rFonts w:hint="default" w:ascii="仿宋_GB2312" w:hAnsi="仿宋_GB2312" w:eastAsia="仿宋_GB2312" w:cs="仿宋_GB2312"/>
          <w:color w:val="auto"/>
          <w:sz w:val="31"/>
          <w:szCs w:val="31"/>
          <w:lang w:val="en-US" w:eastAsia="zh-CN"/>
        </w:rPr>
      </w:pPr>
      <w:r>
        <w:rPr>
          <w:rFonts w:hint="eastAsia" w:ascii="楷体" w:hAnsi="楷体" w:eastAsia="楷体" w:cs="楷体"/>
          <w:color w:val="auto"/>
          <w:kern w:val="2"/>
          <w:sz w:val="32"/>
          <w:szCs w:val="32"/>
          <w:lang w:val="en-US" w:eastAsia="zh-CN" w:bidi="ar"/>
        </w:rPr>
        <w:t>（三）售房程序。</w:t>
      </w:r>
      <w:r>
        <w:rPr>
          <w:rFonts w:hint="eastAsia" w:ascii="仿宋_GB2312" w:hAnsi="仿宋_GB2312" w:eastAsia="仿宋_GB2312" w:cs="仿宋_GB2312"/>
          <w:color w:val="auto"/>
          <w:sz w:val="31"/>
          <w:szCs w:val="31"/>
          <w:lang w:val="en-US" w:eastAsia="zh-CN"/>
        </w:rPr>
        <w:t>申请人向售房单位提出书面申请。售房单位经有权的国资部门同意后，向市住建局提交售房材料。售房款仍按住房基金和维修资金相关规定缴存和管理使用。不动产登记部门予以办理不动产转移登记手续。</w:t>
      </w:r>
    </w:p>
    <w:p w14:paraId="6FF86767">
      <w:pPr>
        <w:ind w:firstLine="640" w:firstLineChars="200"/>
        <w:rPr>
          <w:rFonts w:hint="eastAsia" w:ascii="仿宋_GB2312" w:hAnsi="仿宋_GB2312" w:eastAsia="仿宋_GB2312" w:cs="仿宋_GB2312"/>
          <w:color w:val="auto"/>
          <w:sz w:val="31"/>
          <w:szCs w:val="31"/>
          <w:lang w:val="en-US" w:eastAsia="zh-CN"/>
        </w:rPr>
      </w:pPr>
      <w:r>
        <w:rPr>
          <w:rFonts w:hint="eastAsia" w:ascii="楷体" w:hAnsi="楷体" w:eastAsia="楷体" w:cs="楷体"/>
          <w:color w:val="auto"/>
          <w:kern w:val="2"/>
          <w:sz w:val="32"/>
          <w:szCs w:val="32"/>
          <w:lang w:val="en-US" w:eastAsia="zh-CN" w:bidi="ar"/>
        </w:rPr>
        <w:t>（四）特殊情形的处理。</w:t>
      </w:r>
      <w:r>
        <w:rPr>
          <w:rFonts w:hint="eastAsia" w:ascii="仿宋_GB2312" w:hAnsi="仿宋_GB2312" w:eastAsia="仿宋_GB2312" w:cs="仿宋_GB2312"/>
          <w:b/>
          <w:bCs/>
          <w:color w:val="auto"/>
          <w:sz w:val="31"/>
          <w:szCs w:val="31"/>
          <w:lang w:val="en-US" w:eastAsia="zh-CN"/>
        </w:rPr>
        <w:t>一是</w:t>
      </w:r>
      <w:r>
        <w:rPr>
          <w:rFonts w:hint="eastAsia" w:ascii="仿宋_GB2312" w:hAnsi="仿宋_GB2312" w:eastAsia="仿宋_GB2312" w:cs="仿宋_GB2312"/>
          <w:color w:val="auto"/>
          <w:sz w:val="31"/>
          <w:szCs w:val="31"/>
          <w:lang w:val="en-US" w:eastAsia="zh-CN"/>
        </w:rPr>
        <w:t>购房人一方去世的，由其配偶办理相关购买手续；购房人夫妻双方均已去世的，由其继承人代办购房有关手续。不动产登记部门按房产继承相关规定，将相关房产登记至继承人名下。</w:t>
      </w:r>
      <w:r>
        <w:rPr>
          <w:rFonts w:hint="eastAsia" w:ascii="仿宋_GB2312" w:hAnsi="仿宋_GB2312" w:eastAsia="仿宋_GB2312" w:cs="仿宋_GB2312"/>
          <w:b/>
          <w:bCs/>
          <w:color w:val="auto"/>
          <w:sz w:val="31"/>
          <w:szCs w:val="31"/>
          <w:lang w:val="en-US" w:eastAsia="zh-CN"/>
        </w:rPr>
        <w:t>二是</w:t>
      </w:r>
      <w:r>
        <w:rPr>
          <w:rFonts w:hint="eastAsia" w:ascii="仿宋_GB2312" w:hAnsi="仿宋_GB2312" w:eastAsia="仿宋_GB2312" w:cs="仿宋_GB2312"/>
          <w:color w:val="auto"/>
          <w:sz w:val="31"/>
          <w:szCs w:val="31"/>
          <w:lang w:val="en-US" w:eastAsia="zh-CN"/>
        </w:rPr>
        <w:t>售房单位变更或不再存续的，由资产接收单位代为办理。</w:t>
      </w:r>
    </w:p>
    <w:p w14:paraId="29DC6F84">
      <w:pPr>
        <w:ind w:firstLine="620" w:firstLineChars="200"/>
        <w:rPr>
          <w:rFonts w:hint="eastAsia" w:ascii="仿宋_GB2312" w:hAnsi="仿宋_GB2312" w:eastAsia="仿宋_GB2312" w:cs="仿宋_GB2312"/>
          <w:color w:val="auto"/>
          <w:sz w:val="31"/>
          <w:szCs w:val="31"/>
          <w:lang w:val="en-US" w:eastAsia="zh-CN"/>
        </w:rPr>
      </w:pPr>
    </w:p>
    <w:p w14:paraId="1B9DCB0B">
      <w:pPr>
        <w:keepNext w:val="0"/>
        <w:keepLines w:val="0"/>
        <w:pageBreakBefore w:val="0"/>
        <w:widowControl w:val="0"/>
        <w:numPr>
          <w:ilvl w:val="0"/>
          <w:numId w:val="0"/>
        </w:numPr>
        <w:kinsoku/>
        <w:overflowPunct/>
        <w:topLinePunct w:val="0"/>
        <w:autoSpaceDN/>
        <w:bidi w:val="0"/>
        <w:spacing w:line="560" w:lineRule="exact"/>
        <w:ind w:firstLine="620" w:firstLineChars="200"/>
        <w:textAlignment w:val="auto"/>
        <w:rPr>
          <w:rFonts w:hint="eastAsia" w:ascii="仿宋_GB2312" w:hAnsi="仿宋_GB2312" w:eastAsia="仿宋_GB2312" w:cs="仿宋_GB2312"/>
          <w:color w:val="auto"/>
          <w:kern w:val="2"/>
          <w:sz w:val="31"/>
          <w:szCs w:val="31"/>
          <w:lang w:val="en-US" w:eastAsia="zh-CN" w:bidi="ar-SA"/>
        </w:rPr>
      </w:pPr>
    </w:p>
    <w:p w14:paraId="4E40C26F">
      <w:pPr>
        <w:pStyle w:val="2"/>
        <w:rPr>
          <w:rFonts w:hint="default"/>
          <w:lang w:val="en-US" w:eastAsia="zh-CN"/>
        </w:rPr>
      </w:pPr>
    </w:p>
    <w:sectPr>
      <w:footerReference r:id="rId3" w:type="default"/>
      <w:pgSz w:w="11906" w:h="16838"/>
      <w:pgMar w:top="127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998DF">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-121285</wp:posOffset>
              </wp:positionV>
              <wp:extent cx="601345" cy="205740"/>
              <wp:effectExtent l="0" t="0" r="0" b="0"/>
              <wp:wrapNone/>
              <wp:docPr id="5" name="文本框 5"/>
              <wp:cNvGraphicFramePr/>
              <a:graphic xmlns:a="http://schemas.openxmlformats.org/drawingml/2006/main">
                <a:graphicData uri="http://schemas.microsoft.com/office/word/2010/wordprocessingShape">
                  <wps:wsp>
                    <wps:cNvSpPr txBox="1"/>
                    <wps:spPr>
                      <a:xfrm>
                        <a:off x="0" y="0"/>
                        <a:ext cx="601345" cy="2057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4925FC">
                          <w:pPr>
                            <w:pStyle w:val="6"/>
                            <w:rPr>
                              <w:rFonts w:hint="eastAsia" w:eastAsiaTheme="minorEastAsia"/>
                              <w:lang w:eastAsia="zh-CN"/>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  \* MERGEFORMAT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9.55pt;height:16.2pt;width:47.35pt;mso-position-horizontal:outside;mso-position-horizontal-relative:margin;z-index:251659264;mso-width-relative:page;mso-height-relative:page;" filled="f" stroked="f" coordsize="21600,21600" o:gfxdata="UEsDBAoAAAAAAIdO4kAAAAAAAAAAAAAAAAAEAAAAZHJzL1BLAwQUAAAACACHTuJAqHiSHtUAAAAG&#10;AQAADwAAAGRycy9kb3ducmV2LnhtbE2PS0/DMBCE70j8B2uRuLW2KQIa4vTA48azgAQ3J16SiHgd&#10;2U5a/j3LCY6jGc18U272fhAzxtQHMqCXCgRSE1xPrYHXl9vFBYiULTk7BEID35hgUx0elLZwYUfP&#10;OG9zK7iEUmENdDmPhZSp6dDbtAwjEnufIXqbWcZWumh3XO4HeaLUmfS2J17o7IhXHTZf28kbGN5T&#10;vKtV/piv2/v89Cintxv9YMzxkVaXIDLu818YfvEZHSpmqsNELonBAB/JBhZ6rUGwvT49B1FzbLUC&#10;WZXyP371A1BLAwQUAAAACACHTuJAamo9WTYCAABhBAAADgAAAGRycy9lMm9Eb2MueG1srVTNjtMw&#10;EL4j8Q6W7zTp7nZBVdNV2aoIqWJXKoiz6ziNJdtjbLdJeQB4A0574c5z9TkYO0kXLRz2wMWdzP/3&#10;zUxnN61W5CCcl2AKOh7llAjDoZRmV9BPH1ev3lDiAzMlU2BEQY/C05v5yxezxk7FBdSgSuEIJjF+&#10;2tiC1iHYaZZ5XgvN/AisMGiswGkW8NPtstKxBrNrlV3k+XXWgCutAy68R+2yM9I+o3tOQqgqycUS&#10;+F4LE7qsTigWEJKvpfV0nrqtKsHDXVV5EYgqKCIN6cUiKG/jm81nbLpzzNaS9y2w57TwBJNm0mDR&#10;c6olC4zsnfwrlZbcgYcqjDjorAOSGEEU4/wJN5uaWZGwINXenkn3/y8t/3C4d0SWBZ1QYpjGgZ9+&#10;fD89/Dr9/EYmkZ7G+il6bSz6hfYttLg0g96jMqJuK6fjL+IhaEdyj2dyRRsIR+V1Pr68wiIcTRf5&#10;5PVVIj97DLbOh3cCNIlCQR3OLlHKDmsfsBF0HVxiLQMrqVSanzKkwQKXkzwFnC0YoQwGRghdq1EK&#10;7bbtcW2hPCIsB91eeMtXEouvmQ/3zOEiIBI8lXCHT6UAi0AvUVKD+/ovffTH+aCVkgYXq6D+y545&#10;QYl6b3BycQsHwQ3CdhDMXt8C7uoYj9DyJGKAC2oQKwf6M17QIlZBEzMcaxU0DOJt6NYbL5CLxSI5&#10;7a2Tu7oLwL2zLKzNxvJYpqNysQ9QycRypKjjpWcONy+R319JXO0/v5PX4z/D/D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oeJIe1QAAAAYBAAAPAAAAAAAAAAEAIAAAACIAAABkcnMvZG93bnJldi54&#10;bWxQSwECFAAUAAAACACHTuJAamo9WTYCAABhBAAADgAAAAAAAAABACAAAAAkAQAAZHJzL2Uyb0Rv&#10;Yy54bWxQSwUGAAAAAAYABgBZAQAAzAUAAAAA&#10;">
              <v:fill on="f" focussize="0,0"/>
              <v:stroke on="f" weight="0.5pt"/>
              <v:imagedata o:title=""/>
              <o:lock v:ext="edit" aspectratio="f"/>
              <v:textbox inset="0mm,0mm,0mm,0mm">
                <w:txbxContent>
                  <w:p w14:paraId="7C4925FC">
                    <w:pPr>
                      <w:pStyle w:val="6"/>
                      <w:rPr>
                        <w:rFonts w:hint="eastAsia" w:eastAsiaTheme="minorEastAsia"/>
                        <w:lang w:eastAsia="zh-CN"/>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  \* MERGEFORMAT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zNzFlMzE4YzdjYWIzYTI4MmM5NDc4MGNlMDIxNjkifQ=="/>
  </w:docVars>
  <w:rsids>
    <w:rsidRoot w:val="7D1A108F"/>
    <w:rsid w:val="0005156D"/>
    <w:rsid w:val="01113D6B"/>
    <w:rsid w:val="0116312F"/>
    <w:rsid w:val="02591364"/>
    <w:rsid w:val="03C74BB5"/>
    <w:rsid w:val="03E55313"/>
    <w:rsid w:val="04CE1F73"/>
    <w:rsid w:val="056C7A1B"/>
    <w:rsid w:val="05A41620"/>
    <w:rsid w:val="06190FCC"/>
    <w:rsid w:val="073F2CB4"/>
    <w:rsid w:val="09900931"/>
    <w:rsid w:val="09E86115"/>
    <w:rsid w:val="0CB1205F"/>
    <w:rsid w:val="11F0327C"/>
    <w:rsid w:val="12BB771E"/>
    <w:rsid w:val="12D15108"/>
    <w:rsid w:val="13855EF2"/>
    <w:rsid w:val="14983ECB"/>
    <w:rsid w:val="1562473D"/>
    <w:rsid w:val="1A231FC1"/>
    <w:rsid w:val="1A8402A4"/>
    <w:rsid w:val="1BC815C6"/>
    <w:rsid w:val="1BF114F1"/>
    <w:rsid w:val="1CEE118F"/>
    <w:rsid w:val="1F845AC6"/>
    <w:rsid w:val="20EF0E4F"/>
    <w:rsid w:val="24C30629"/>
    <w:rsid w:val="263F3A83"/>
    <w:rsid w:val="295E6B72"/>
    <w:rsid w:val="299566CF"/>
    <w:rsid w:val="29A52CD9"/>
    <w:rsid w:val="2A420242"/>
    <w:rsid w:val="2A446D64"/>
    <w:rsid w:val="2A5B02ED"/>
    <w:rsid w:val="2B3D790B"/>
    <w:rsid w:val="2B4008AA"/>
    <w:rsid w:val="2BBE69C7"/>
    <w:rsid w:val="2DCE076A"/>
    <w:rsid w:val="31164832"/>
    <w:rsid w:val="31660CB9"/>
    <w:rsid w:val="32364B30"/>
    <w:rsid w:val="327D624B"/>
    <w:rsid w:val="34622085"/>
    <w:rsid w:val="34A83397"/>
    <w:rsid w:val="355A6D87"/>
    <w:rsid w:val="3599165E"/>
    <w:rsid w:val="361259AF"/>
    <w:rsid w:val="381E714C"/>
    <w:rsid w:val="38A6124F"/>
    <w:rsid w:val="390706F6"/>
    <w:rsid w:val="393964E7"/>
    <w:rsid w:val="3B047A87"/>
    <w:rsid w:val="3B9D5CA4"/>
    <w:rsid w:val="3BCE5DD9"/>
    <w:rsid w:val="3D001434"/>
    <w:rsid w:val="3DD51DB9"/>
    <w:rsid w:val="3E412892"/>
    <w:rsid w:val="40C004B9"/>
    <w:rsid w:val="41CC3BC1"/>
    <w:rsid w:val="42C910A8"/>
    <w:rsid w:val="4338647E"/>
    <w:rsid w:val="45C53DA9"/>
    <w:rsid w:val="47A345BE"/>
    <w:rsid w:val="47F15C87"/>
    <w:rsid w:val="48026D3F"/>
    <w:rsid w:val="4832372A"/>
    <w:rsid w:val="490F7AD2"/>
    <w:rsid w:val="49B669D0"/>
    <w:rsid w:val="4FE86110"/>
    <w:rsid w:val="50FB4B23"/>
    <w:rsid w:val="51D43A54"/>
    <w:rsid w:val="51F25E67"/>
    <w:rsid w:val="52130F60"/>
    <w:rsid w:val="55D22F21"/>
    <w:rsid w:val="57B10631"/>
    <w:rsid w:val="589D5317"/>
    <w:rsid w:val="594D02EC"/>
    <w:rsid w:val="5A6524EA"/>
    <w:rsid w:val="5BA5391B"/>
    <w:rsid w:val="5C3004DA"/>
    <w:rsid w:val="5D7D18C9"/>
    <w:rsid w:val="5F6946C4"/>
    <w:rsid w:val="61545CF8"/>
    <w:rsid w:val="61B0747B"/>
    <w:rsid w:val="61B90518"/>
    <w:rsid w:val="63B0695E"/>
    <w:rsid w:val="64676364"/>
    <w:rsid w:val="64974F62"/>
    <w:rsid w:val="65DD37E3"/>
    <w:rsid w:val="67202D01"/>
    <w:rsid w:val="69C10C47"/>
    <w:rsid w:val="6ADE1D63"/>
    <w:rsid w:val="6CBF6F19"/>
    <w:rsid w:val="6D1413DF"/>
    <w:rsid w:val="6D577B25"/>
    <w:rsid w:val="6DEB36F8"/>
    <w:rsid w:val="6DF62EAC"/>
    <w:rsid w:val="6EB8009F"/>
    <w:rsid w:val="6EEB3FD1"/>
    <w:rsid w:val="6F64006C"/>
    <w:rsid w:val="700B1BEC"/>
    <w:rsid w:val="705767E7"/>
    <w:rsid w:val="74604FAC"/>
    <w:rsid w:val="746223F2"/>
    <w:rsid w:val="754E10C8"/>
    <w:rsid w:val="77C11D73"/>
    <w:rsid w:val="7A3902E6"/>
    <w:rsid w:val="7A7D0DC6"/>
    <w:rsid w:val="7A9F06BF"/>
    <w:rsid w:val="7ACA3634"/>
    <w:rsid w:val="7C2645C2"/>
    <w:rsid w:val="7D1A108F"/>
    <w:rsid w:val="7E241E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qFormat/>
    <w:uiPriority w:val="0"/>
    <w:pPr>
      <w:ind w:firstLine="420"/>
    </w:pPr>
    <w:rPr>
      <w:kern w:val="1"/>
      <w:szCs w:val="24"/>
    </w:rPr>
  </w:style>
  <w:style w:type="paragraph" w:styleId="3">
    <w:name w:val="Body Text Indent"/>
    <w:basedOn w:val="1"/>
    <w:qFormat/>
    <w:uiPriority w:val="0"/>
    <w:pPr>
      <w:spacing w:after="120"/>
      <w:ind w:left="200" w:leftChars="200"/>
    </w:pPr>
  </w:style>
  <w:style w:type="paragraph" w:styleId="4">
    <w:name w:val="Normal Indent"/>
    <w:basedOn w:val="1"/>
    <w:qFormat/>
    <w:uiPriority w:val="0"/>
    <w:pPr>
      <w:ind w:firstLine="420" w:firstLineChars="200"/>
    </w:pPr>
  </w:style>
  <w:style w:type="paragraph" w:styleId="5">
    <w:name w:val="Plain Text"/>
    <w:basedOn w:val="1"/>
    <w:qFormat/>
    <w:uiPriority w:val="0"/>
    <w:rPr>
      <w:rFonts w:ascii="宋体" w:hAnsi="Courier New" w:cs="Courier New"/>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paragraph" w:customStyle="1" w:styleId="12">
    <w:name w:val="p0"/>
    <w:basedOn w:val="1"/>
    <w:qFormat/>
    <w:uiPriority w:val="0"/>
    <w:pPr>
      <w:spacing w:before="0" w:beforeAutospacing="0" w:after="0" w:afterAutospacing="0" w:line="240" w:lineRule="auto"/>
      <w:ind w:left="0" w:right="0"/>
      <w:jc w:val="both"/>
    </w:pPr>
    <w:rPr>
      <w:rFonts w:hint="default" w:ascii="Calibri" w:hAnsi="Calibri" w:eastAsia="宋体" w:cs="宋体"/>
      <w:kern w:val="0"/>
      <w:sz w:val="21"/>
      <w:szCs w:val="21"/>
      <w:lang w:val="en-US" w:eastAsia="zh-CN" w:bidi="ar"/>
    </w:rPr>
  </w:style>
  <w:style w:type="paragraph" w:customStyle="1" w:styleId="13">
    <w:name w:val="Body Text First Indent 21"/>
    <w:basedOn w:val="14"/>
    <w:qFormat/>
    <w:uiPriority w:val="0"/>
    <w:pPr>
      <w:spacing w:line="340" w:lineRule="exact"/>
      <w:ind w:right="-139" w:hangingChars="26" w:firstLine="420"/>
    </w:pPr>
    <w:rPr>
      <w:rFonts w:ascii="华文中宋" w:hAnsi="华文中宋" w:eastAsia="华文中宋"/>
      <w:sz w:val="24"/>
      <w:szCs w:val="20"/>
    </w:rPr>
  </w:style>
  <w:style w:type="paragraph" w:customStyle="1" w:styleId="14">
    <w:name w:val="Body Text Indent1"/>
    <w:basedOn w:val="1"/>
    <w:qFormat/>
    <w:uiPriority w:val="0"/>
    <w:pPr>
      <w:spacing w:after="120" w:afterLines="0"/>
      <w:ind w:left="420" w:leftChars="200"/>
    </w:pPr>
  </w:style>
  <w:style w:type="character" w:customStyle="1" w:styleId="15">
    <w:name w:val="font31"/>
    <w:basedOn w:val="11"/>
    <w:qFormat/>
    <w:uiPriority w:val="0"/>
    <w:rPr>
      <w:rFonts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2166</Words>
  <Characters>2253</Characters>
  <Lines>1</Lines>
  <Paragraphs>1</Paragraphs>
  <TotalTime>0</TotalTime>
  <ScaleCrop>false</ScaleCrop>
  <LinksUpToDate>false</LinksUpToDate>
  <CharactersWithSpaces>2289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2021-07-15T06:12:00Z</dcterms:created>
  <dc:creator> 木子真</dc:creator>
  <cp:lastModifiedBy>Administrator</cp:lastModifiedBy>
  <cp:lastPrinted>2024-09-04T01:45:00Z</cp:lastPrinted>
  <dcterms:modified xsi:type="dcterms:W3CDTF">2024-09-24T02:09:08Z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55D950FABC3A4FE0B223FF2C3224501A_13</vt:lpwstr>
  </property>
</Properties>
</file>