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6AC" w:rsidRDefault="00052CA2">
      <w:pPr>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1</w:t>
      </w:r>
    </w:p>
    <w:p w:rsidR="009746AC" w:rsidRDefault="00052CA2">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检查项目汇总表</w:t>
      </w:r>
    </w:p>
    <w:tbl>
      <w:tblPr>
        <w:tblW w:w="9165" w:type="dxa"/>
        <w:jc w:val="center"/>
        <w:tblLayout w:type="fixed"/>
        <w:tblCellMar>
          <w:top w:w="15" w:type="dxa"/>
          <w:left w:w="15" w:type="dxa"/>
          <w:bottom w:w="15" w:type="dxa"/>
          <w:right w:w="15" w:type="dxa"/>
        </w:tblCellMar>
        <w:tblLook w:val="04A0" w:firstRow="1" w:lastRow="0" w:firstColumn="1" w:lastColumn="0" w:noHBand="0" w:noVBand="1"/>
      </w:tblPr>
      <w:tblGrid>
        <w:gridCol w:w="599"/>
        <w:gridCol w:w="1335"/>
        <w:gridCol w:w="704"/>
        <w:gridCol w:w="914"/>
        <w:gridCol w:w="521"/>
        <w:gridCol w:w="1305"/>
        <w:gridCol w:w="720"/>
        <w:gridCol w:w="2124"/>
        <w:gridCol w:w="943"/>
      </w:tblGrid>
      <w:tr w:rsidR="009746AC">
        <w:trPr>
          <w:trHeight w:val="780"/>
          <w:jc w:val="center"/>
        </w:trPr>
        <w:tc>
          <w:tcPr>
            <w:tcW w:w="599" w:type="dxa"/>
            <w:tcBorders>
              <w:top w:val="single" w:sz="4" w:space="0" w:color="000000"/>
              <w:left w:val="single" w:sz="4" w:space="0" w:color="000000"/>
              <w:right w:val="single" w:sz="4" w:space="0" w:color="000000"/>
            </w:tcBorders>
            <w:shd w:val="clear" w:color="auto" w:fill="auto"/>
            <w:vAlign w:val="center"/>
          </w:tcPr>
          <w:p w:rsidR="009746AC" w:rsidRDefault="00052CA2">
            <w:pPr>
              <w:widowControl/>
              <w:spacing w:line="440" w:lineRule="exact"/>
              <w:jc w:val="center"/>
              <w:textAlignment w:val="center"/>
              <w:rPr>
                <w:rFonts w:ascii="仿宋" w:eastAsia="仿宋" w:hAnsi="仿宋" w:cs="仿宋"/>
                <w:b/>
                <w:color w:val="000000"/>
                <w:sz w:val="28"/>
                <w:szCs w:val="28"/>
              </w:rPr>
            </w:pPr>
            <w:r>
              <w:rPr>
                <w:rFonts w:ascii="仿宋" w:eastAsia="仿宋" w:hAnsi="仿宋" w:cs="仿宋" w:hint="eastAsia"/>
                <w:b/>
                <w:color w:val="000000"/>
                <w:kern w:val="0"/>
                <w:sz w:val="28"/>
                <w:szCs w:val="28"/>
                <w:lang w:bidi="ar"/>
              </w:rPr>
              <w:t>序号</w:t>
            </w:r>
          </w:p>
        </w:tc>
        <w:tc>
          <w:tcPr>
            <w:tcW w:w="1335" w:type="dxa"/>
            <w:tcBorders>
              <w:top w:val="single" w:sz="4" w:space="0" w:color="000000"/>
              <w:left w:val="single" w:sz="4" w:space="0" w:color="000000"/>
              <w:right w:val="single" w:sz="4" w:space="0" w:color="000000"/>
            </w:tcBorders>
            <w:shd w:val="clear" w:color="auto" w:fill="auto"/>
            <w:vAlign w:val="center"/>
          </w:tcPr>
          <w:p w:rsidR="009746AC" w:rsidRDefault="00052CA2">
            <w:pPr>
              <w:widowControl/>
              <w:spacing w:line="440" w:lineRule="exact"/>
              <w:jc w:val="center"/>
              <w:textAlignment w:val="center"/>
              <w:rPr>
                <w:rFonts w:ascii="仿宋" w:eastAsia="仿宋" w:hAnsi="仿宋" w:cs="仿宋"/>
                <w:b/>
                <w:color w:val="000000"/>
                <w:sz w:val="28"/>
                <w:szCs w:val="28"/>
              </w:rPr>
            </w:pPr>
            <w:r>
              <w:rPr>
                <w:rFonts w:ascii="仿宋" w:eastAsia="仿宋" w:hAnsi="仿宋" w:cs="仿宋" w:hint="eastAsia"/>
                <w:b/>
                <w:color w:val="000000"/>
                <w:kern w:val="0"/>
                <w:sz w:val="28"/>
                <w:szCs w:val="28"/>
                <w:lang w:bidi="ar"/>
              </w:rPr>
              <w:t>项目名称</w:t>
            </w:r>
          </w:p>
        </w:tc>
        <w:tc>
          <w:tcPr>
            <w:tcW w:w="704" w:type="dxa"/>
            <w:tcBorders>
              <w:top w:val="single" w:sz="4" w:space="0" w:color="000000"/>
              <w:left w:val="single" w:sz="4" w:space="0" w:color="000000"/>
              <w:right w:val="single" w:sz="4" w:space="0" w:color="000000"/>
            </w:tcBorders>
            <w:shd w:val="clear" w:color="auto" w:fill="auto"/>
            <w:vAlign w:val="center"/>
          </w:tcPr>
          <w:p w:rsidR="009746AC" w:rsidRDefault="00052CA2">
            <w:pPr>
              <w:widowControl/>
              <w:spacing w:line="440" w:lineRule="exact"/>
              <w:jc w:val="center"/>
              <w:textAlignment w:val="center"/>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所在</w:t>
            </w:r>
          </w:p>
          <w:p w:rsidR="009746AC" w:rsidRDefault="00052CA2">
            <w:pPr>
              <w:widowControl/>
              <w:spacing w:line="440" w:lineRule="exact"/>
              <w:jc w:val="center"/>
              <w:textAlignment w:val="center"/>
              <w:rPr>
                <w:rFonts w:ascii="仿宋" w:eastAsia="仿宋" w:hAnsi="仿宋" w:cs="仿宋"/>
                <w:b/>
                <w:color w:val="000000"/>
                <w:sz w:val="28"/>
                <w:szCs w:val="28"/>
              </w:rPr>
            </w:pPr>
            <w:r>
              <w:rPr>
                <w:rFonts w:ascii="仿宋" w:eastAsia="仿宋" w:hAnsi="仿宋" w:cs="仿宋" w:hint="eastAsia"/>
                <w:b/>
                <w:color w:val="000000"/>
                <w:kern w:val="0"/>
                <w:sz w:val="28"/>
                <w:szCs w:val="28"/>
                <w:lang w:bidi="ar"/>
              </w:rPr>
              <w:t>县市</w:t>
            </w:r>
          </w:p>
        </w:tc>
        <w:tc>
          <w:tcPr>
            <w:tcW w:w="914" w:type="dxa"/>
            <w:tcBorders>
              <w:top w:val="single" w:sz="4" w:space="0" w:color="000000"/>
              <w:left w:val="single" w:sz="4" w:space="0" w:color="000000"/>
              <w:right w:val="single" w:sz="4" w:space="0" w:color="000000"/>
            </w:tcBorders>
            <w:shd w:val="clear" w:color="auto" w:fill="auto"/>
            <w:vAlign w:val="center"/>
          </w:tcPr>
          <w:p w:rsidR="009746AC" w:rsidRDefault="00052CA2">
            <w:pPr>
              <w:widowControl/>
              <w:spacing w:line="440" w:lineRule="exact"/>
              <w:jc w:val="center"/>
              <w:textAlignment w:val="center"/>
              <w:rPr>
                <w:rFonts w:ascii="仿宋" w:eastAsia="仿宋" w:hAnsi="仿宋" w:cs="仿宋"/>
                <w:b/>
                <w:color w:val="000000"/>
                <w:sz w:val="28"/>
                <w:szCs w:val="28"/>
              </w:rPr>
            </w:pPr>
            <w:r>
              <w:rPr>
                <w:rFonts w:ascii="仿宋" w:eastAsia="仿宋" w:hAnsi="仿宋" w:cs="仿宋" w:hint="eastAsia"/>
                <w:b/>
                <w:color w:val="000000"/>
                <w:kern w:val="0"/>
                <w:sz w:val="28"/>
                <w:szCs w:val="28"/>
                <w:lang w:bidi="ar"/>
              </w:rPr>
              <w:t>面积</w:t>
            </w:r>
          </w:p>
        </w:tc>
        <w:tc>
          <w:tcPr>
            <w:tcW w:w="521" w:type="dxa"/>
            <w:tcBorders>
              <w:top w:val="single" w:sz="4" w:space="0" w:color="000000"/>
              <w:left w:val="single" w:sz="4" w:space="0" w:color="000000"/>
              <w:right w:val="single" w:sz="4" w:space="0" w:color="000000"/>
            </w:tcBorders>
            <w:shd w:val="clear" w:color="auto" w:fill="auto"/>
            <w:vAlign w:val="center"/>
          </w:tcPr>
          <w:p w:rsidR="009746AC" w:rsidRDefault="00052CA2">
            <w:pPr>
              <w:widowControl/>
              <w:spacing w:line="440" w:lineRule="exact"/>
              <w:jc w:val="center"/>
              <w:textAlignment w:val="center"/>
              <w:rPr>
                <w:rFonts w:ascii="仿宋" w:eastAsia="仿宋" w:hAnsi="仿宋" w:cs="仿宋"/>
                <w:b/>
                <w:color w:val="000000"/>
                <w:sz w:val="28"/>
                <w:szCs w:val="28"/>
              </w:rPr>
            </w:pPr>
            <w:r>
              <w:rPr>
                <w:rFonts w:ascii="仿宋" w:eastAsia="仿宋" w:hAnsi="仿宋" w:cs="仿宋" w:hint="eastAsia"/>
                <w:b/>
                <w:color w:val="000000"/>
                <w:kern w:val="0"/>
                <w:sz w:val="28"/>
                <w:szCs w:val="28"/>
                <w:lang w:bidi="ar"/>
              </w:rPr>
              <w:t>勘察单位</w:t>
            </w:r>
          </w:p>
        </w:tc>
        <w:tc>
          <w:tcPr>
            <w:tcW w:w="1305" w:type="dxa"/>
            <w:tcBorders>
              <w:top w:val="single" w:sz="4" w:space="0" w:color="000000"/>
              <w:left w:val="single" w:sz="4" w:space="0" w:color="000000"/>
              <w:right w:val="single" w:sz="4" w:space="0" w:color="000000"/>
            </w:tcBorders>
            <w:shd w:val="clear" w:color="auto" w:fill="auto"/>
            <w:vAlign w:val="center"/>
          </w:tcPr>
          <w:p w:rsidR="009746AC" w:rsidRDefault="00052CA2">
            <w:pPr>
              <w:widowControl/>
              <w:spacing w:line="440" w:lineRule="exact"/>
              <w:jc w:val="center"/>
              <w:textAlignment w:val="center"/>
              <w:rPr>
                <w:rFonts w:ascii="仿宋" w:eastAsia="仿宋" w:hAnsi="仿宋" w:cs="仿宋"/>
                <w:b/>
                <w:color w:val="000000"/>
                <w:sz w:val="28"/>
                <w:szCs w:val="28"/>
              </w:rPr>
            </w:pPr>
            <w:r>
              <w:rPr>
                <w:rFonts w:ascii="仿宋" w:eastAsia="仿宋" w:hAnsi="仿宋" w:cs="仿宋" w:hint="eastAsia"/>
                <w:b/>
                <w:color w:val="000000"/>
                <w:kern w:val="0"/>
                <w:sz w:val="28"/>
                <w:szCs w:val="28"/>
                <w:lang w:bidi="ar"/>
              </w:rPr>
              <w:t>设计单位</w:t>
            </w:r>
          </w:p>
        </w:tc>
        <w:tc>
          <w:tcPr>
            <w:tcW w:w="720" w:type="dxa"/>
            <w:tcBorders>
              <w:top w:val="single" w:sz="4" w:space="0" w:color="000000"/>
              <w:left w:val="single" w:sz="4" w:space="0" w:color="000000"/>
              <w:right w:val="single" w:sz="4" w:space="0" w:color="000000"/>
            </w:tcBorders>
            <w:shd w:val="clear" w:color="auto" w:fill="auto"/>
            <w:vAlign w:val="center"/>
          </w:tcPr>
          <w:p w:rsidR="009746AC" w:rsidRDefault="00052CA2">
            <w:pPr>
              <w:widowControl/>
              <w:spacing w:line="440" w:lineRule="exact"/>
              <w:jc w:val="center"/>
              <w:textAlignment w:val="center"/>
              <w:rPr>
                <w:rFonts w:ascii="仿宋" w:eastAsia="仿宋" w:hAnsi="仿宋" w:cs="仿宋"/>
                <w:b/>
                <w:color w:val="000000"/>
                <w:sz w:val="28"/>
                <w:szCs w:val="28"/>
              </w:rPr>
            </w:pPr>
            <w:r>
              <w:rPr>
                <w:rFonts w:ascii="仿宋" w:eastAsia="仿宋" w:hAnsi="仿宋" w:cs="仿宋" w:hint="eastAsia"/>
                <w:b/>
                <w:color w:val="000000"/>
                <w:kern w:val="0"/>
                <w:sz w:val="28"/>
                <w:szCs w:val="28"/>
                <w:lang w:bidi="ar"/>
              </w:rPr>
              <w:t>是否</w:t>
            </w:r>
            <w:r>
              <w:rPr>
                <w:rFonts w:ascii="仿宋" w:eastAsia="仿宋" w:hAnsi="仿宋" w:cs="仿宋" w:hint="eastAsia"/>
                <w:b/>
                <w:color w:val="000000"/>
                <w:kern w:val="0"/>
                <w:sz w:val="28"/>
                <w:szCs w:val="28"/>
                <w:lang w:bidi="ar"/>
              </w:rPr>
              <w:br/>
            </w:r>
            <w:r>
              <w:rPr>
                <w:rFonts w:ascii="仿宋" w:eastAsia="仿宋" w:hAnsi="仿宋" w:cs="仿宋" w:hint="eastAsia"/>
                <w:b/>
                <w:color w:val="000000"/>
                <w:kern w:val="0"/>
                <w:sz w:val="28"/>
                <w:szCs w:val="28"/>
                <w:lang w:bidi="ar"/>
              </w:rPr>
              <w:t>完成抽查</w:t>
            </w:r>
          </w:p>
        </w:tc>
        <w:tc>
          <w:tcPr>
            <w:tcW w:w="2124" w:type="dxa"/>
            <w:tcBorders>
              <w:top w:val="single" w:sz="4" w:space="0" w:color="000000"/>
              <w:left w:val="single" w:sz="4" w:space="0" w:color="000000"/>
              <w:right w:val="single" w:sz="4" w:space="0" w:color="000000"/>
            </w:tcBorders>
            <w:shd w:val="clear" w:color="auto" w:fill="auto"/>
            <w:vAlign w:val="center"/>
          </w:tcPr>
          <w:p w:rsidR="009746AC" w:rsidRDefault="00052CA2">
            <w:pPr>
              <w:widowControl/>
              <w:spacing w:line="440" w:lineRule="exact"/>
              <w:jc w:val="center"/>
              <w:textAlignment w:val="center"/>
              <w:rPr>
                <w:rFonts w:ascii="仿宋" w:eastAsia="仿宋" w:hAnsi="仿宋" w:cs="仿宋"/>
                <w:b/>
                <w:color w:val="000000"/>
                <w:sz w:val="28"/>
                <w:szCs w:val="28"/>
              </w:rPr>
            </w:pPr>
            <w:r>
              <w:rPr>
                <w:rFonts w:ascii="仿宋" w:eastAsia="仿宋" w:hAnsi="仿宋" w:cs="仿宋" w:hint="eastAsia"/>
                <w:b/>
                <w:color w:val="000000"/>
                <w:kern w:val="0"/>
                <w:sz w:val="28"/>
                <w:szCs w:val="28"/>
                <w:lang w:bidi="ar"/>
              </w:rPr>
              <w:t>存在</w:t>
            </w:r>
            <w:r>
              <w:rPr>
                <w:rFonts w:ascii="仿宋" w:eastAsia="仿宋" w:hAnsi="仿宋" w:cs="仿宋" w:hint="eastAsia"/>
                <w:b/>
                <w:color w:val="000000"/>
                <w:kern w:val="0"/>
                <w:sz w:val="28"/>
                <w:szCs w:val="28"/>
                <w:lang w:bidi="ar"/>
              </w:rPr>
              <w:br/>
            </w:r>
            <w:r>
              <w:rPr>
                <w:rFonts w:ascii="仿宋" w:eastAsia="仿宋" w:hAnsi="仿宋" w:cs="仿宋" w:hint="eastAsia"/>
                <w:b/>
                <w:color w:val="000000"/>
                <w:kern w:val="0"/>
                <w:sz w:val="28"/>
                <w:szCs w:val="28"/>
                <w:lang w:bidi="ar"/>
              </w:rPr>
              <w:t>问题</w:t>
            </w:r>
          </w:p>
        </w:tc>
        <w:tc>
          <w:tcPr>
            <w:tcW w:w="943" w:type="dxa"/>
            <w:tcBorders>
              <w:top w:val="single" w:sz="4" w:space="0" w:color="000000"/>
              <w:left w:val="single" w:sz="4" w:space="0" w:color="000000"/>
              <w:right w:val="single" w:sz="4" w:space="0" w:color="000000"/>
            </w:tcBorders>
            <w:shd w:val="clear" w:color="auto" w:fill="auto"/>
            <w:vAlign w:val="center"/>
          </w:tcPr>
          <w:p w:rsidR="009746AC" w:rsidRDefault="00052CA2">
            <w:pPr>
              <w:widowControl/>
              <w:spacing w:line="440" w:lineRule="exact"/>
              <w:jc w:val="center"/>
              <w:textAlignment w:val="center"/>
              <w:rPr>
                <w:rFonts w:ascii="仿宋" w:eastAsia="仿宋" w:hAnsi="仿宋" w:cs="仿宋"/>
                <w:b/>
                <w:color w:val="000000"/>
                <w:sz w:val="28"/>
                <w:szCs w:val="28"/>
              </w:rPr>
            </w:pPr>
            <w:r>
              <w:rPr>
                <w:rFonts w:ascii="仿宋" w:eastAsia="仿宋" w:hAnsi="仿宋" w:cs="仿宋" w:hint="eastAsia"/>
                <w:b/>
                <w:color w:val="000000"/>
                <w:kern w:val="0"/>
                <w:sz w:val="28"/>
                <w:szCs w:val="28"/>
                <w:lang w:bidi="ar"/>
              </w:rPr>
              <w:t>整治</w:t>
            </w:r>
            <w:r>
              <w:rPr>
                <w:rFonts w:ascii="仿宋" w:eastAsia="仿宋" w:hAnsi="仿宋" w:cs="仿宋" w:hint="eastAsia"/>
                <w:b/>
                <w:color w:val="000000"/>
                <w:kern w:val="0"/>
                <w:sz w:val="28"/>
                <w:szCs w:val="28"/>
                <w:lang w:bidi="ar"/>
              </w:rPr>
              <w:br/>
            </w:r>
            <w:r>
              <w:rPr>
                <w:rFonts w:ascii="仿宋" w:eastAsia="仿宋" w:hAnsi="仿宋" w:cs="仿宋" w:hint="eastAsia"/>
                <w:b/>
                <w:color w:val="000000"/>
                <w:kern w:val="0"/>
                <w:sz w:val="28"/>
                <w:szCs w:val="28"/>
                <w:lang w:bidi="ar"/>
              </w:rPr>
              <w:t>措施</w:t>
            </w:r>
          </w:p>
        </w:tc>
      </w:tr>
      <w:tr w:rsidR="009746AC">
        <w:trPr>
          <w:trHeight w:val="90"/>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052CA2">
            <w:pPr>
              <w:widowControl/>
              <w:spacing w:line="440" w:lineRule="exact"/>
              <w:jc w:val="center"/>
              <w:textAlignment w:val="center"/>
              <w:rPr>
                <w:rFonts w:ascii="仿宋" w:eastAsia="仿宋" w:hAnsi="仿宋" w:cs="仿宋"/>
                <w:color w:val="000000"/>
                <w:sz w:val="28"/>
                <w:szCs w:val="28"/>
              </w:rPr>
            </w:pPr>
            <w:r>
              <w:rPr>
                <w:rFonts w:hint="eastAsia"/>
                <w:sz w:val="24"/>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052CA2">
            <w:pPr>
              <w:spacing w:line="440" w:lineRule="exact"/>
              <w:jc w:val="center"/>
              <w:rPr>
                <w:rFonts w:ascii="仿宋" w:eastAsia="仿宋" w:hAnsi="仿宋" w:cs="仿宋"/>
                <w:color w:val="000000"/>
                <w:sz w:val="28"/>
                <w:szCs w:val="28"/>
              </w:rPr>
            </w:pPr>
            <w:r>
              <w:rPr>
                <w:rFonts w:hint="eastAsia"/>
                <w:sz w:val="24"/>
              </w:rPr>
              <w:t>尤溪县台溪中心小学教学楼</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052CA2">
            <w:pPr>
              <w:spacing w:line="440" w:lineRule="exact"/>
              <w:jc w:val="center"/>
              <w:rPr>
                <w:sz w:val="24"/>
              </w:rPr>
            </w:pPr>
            <w:r>
              <w:rPr>
                <w:rFonts w:hint="eastAsia"/>
                <w:sz w:val="24"/>
              </w:rPr>
              <w:t>尤溪县</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052CA2">
            <w:pPr>
              <w:spacing w:line="440" w:lineRule="exact"/>
              <w:jc w:val="center"/>
              <w:rPr>
                <w:sz w:val="24"/>
              </w:rPr>
            </w:pPr>
            <w:r>
              <w:rPr>
                <w:rFonts w:hint="eastAsia"/>
                <w:sz w:val="24"/>
              </w:rPr>
              <w:t>2455</w:t>
            </w:r>
            <w:r>
              <w:rPr>
                <w:rFonts w:hint="eastAsia"/>
                <w:sz w:val="24"/>
              </w:rPr>
              <w:t>平米</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9746AC">
            <w:pPr>
              <w:spacing w:line="440" w:lineRule="exact"/>
              <w:jc w:val="center"/>
              <w:rPr>
                <w:sz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052CA2">
            <w:pPr>
              <w:spacing w:line="440" w:lineRule="exact"/>
              <w:jc w:val="center"/>
              <w:rPr>
                <w:sz w:val="24"/>
              </w:rPr>
            </w:pPr>
            <w:r>
              <w:rPr>
                <w:rFonts w:hint="eastAsia"/>
                <w:sz w:val="24"/>
              </w:rPr>
              <w:t>广州博厦建筑设计研究院有限公司</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052CA2">
            <w:pPr>
              <w:spacing w:line="440" w:lineRule="exact"/>
              <w:jc w:val="center"/>
              <w:rPr>
                <w:rFonts w:ascii="仿宋" w:eastAsia="仿宋" w:hAnsi="仿宋" w:cs="仿宋"/>
                <w:color w:val="000000"/>
                <w:sz w:val="28"/>
                <w:szCs w:val="28"/>
              </w:rPr>
            </w:pPr>
            <w:r>
              <w:rPr>
                <w:rFonts w:hint="eastAsia"/>
                <w:sz w:val="24"/>
              </w:rPr>
              <w:t>是</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052CA2">
            <w:pPr>
              <w:pStyle w:val="a7"/>
              <w:widowControl/>
              <w:spacing w:line="420" w:lineRule="atLeast"/>
              <w:rPr>
                <w:rFonts w:ascii="Times New Roman" w:hAnsi="Times New Roman"/>
                <w:kern w:val="2"/>
                <w:sz w:val="24"/>
                <w:szCs w:val="24"/>
              </w:rPr>
            </w:pPr>
            <w:r>
              <w:rPr>
                <w:rFonts w:ascii="Times New Roman" w:hAnsi="Times New Roman" w:hint="eastAsia"/>
                <w:kern w:val="2"/>
                <w:sz w:val="24"/>
                <w:szCs w:val="24"/>
              </w:rPr>
              <w:t>1</w:t>
            </w:r>
            <w:r>
              <w:rPr>
                <w:rFonts w:ascii="Times New Roman" w:hAnsi="Times New Roman" w:hint="eastAsia"/>
                <w:kern w:val="2"/>
                <w:sz w:val="24"/>
                <w:szCs w:val="24"/>
              </w:rPr>
              <w:t>》消防用电设备应采用专用的供电回路，当建筑内的生产、生活用电被切断时，应仍能保证消防用电。违反《</w:t>
            </w:r>
            <w:r>
              <w:rPr>
                <w:rFonts w:ascii="Times New Roman" w:hAnsi="Times New Roman"/>
                <w:kern w:val="2"/>
                <w:sz w:val="24"/>
                <w:szCs w:val="24"/>
              </w:rPr>
              <w:t>建筑设计</w:t>
            </w:r>
            <w:r>
              <w:rPr>
                <w:rFonts w:ascii="Times New Roman" w:hAnsi="Times New Roman" w:hint="eastAsia"/>
                <w:kern w:val="2"/>
                <w:sz w:val="24"/>
                <w:szCs w:val="24"/>
              </w:rPr>
              <w:t>防火</w:t>
            </w:r>
            <w:r>
              <w:rPr>
                <w:rFonts w:ascii="Times New Roman" w:hAnsi="Times New Roman"/>
                <w:kern w:val="2"/>
                <w:sz w:val="24"/>
                <w:szCs w:val="24"/>
              </w:rPr>
              <w:t>规范</w:t>
            </w:r>
            <w:r>
              <w:rPr>
                <w:rFonts w:ascii="Times New Roman" w:hAnsi="Times New Roman" w:hint="eastAsia"/>
                <w:kern w:val="2"/>
                <w:sz w:val="24"/>
                <w:szCs w:val="24"/>
              </w:rPr>
              <w:t>》</w:t>
            </w:r>
            <w:r>
              <w:rPr>
                <w:rFonts w:ascii="Times New Roman" w:hAnsi="Times New Roman" w:hint="eastAsia"/>
                <w:kern w:val="2"/>
                <w:sz w:val="24"/>
                <w:szCs w:val="24"/>
              </w:rPr>
              <w:t>GB50016</w:t>
            </w:r>
            <w:r>
              <w:rPr>
                <w:rFonts w:ascii="Times New Roman" w:hAnsi="Times New Roman"/>
                <w:kern w:val="2"/>
                <w:sz w:val="24"/>
                <w:szCs w:val="24"/>
              </w:rPr>
              <w:t>-2014</w:t>
            </w:r>
            <w:r>
              <w:rPr>
                <w:rFonts w:ascii="Times New Roman" w:hAnsi="Times New Roman" w:hint="eastAsia"/>
                <w:kern w:val="2"/>
                <w:sz w:val="24"/>
                <w:szCs w:val="24"/>
              </w:rPr>
              <w:t>，第</w:t>
            </w:r>
            <w:r>
              <w:rPr>
                <w:rFonts w:ascii="Times New Roman" w:hAnsi="Times New Roman" w:hint="eastAsia"/>
                <w:kern w:val="2"/>
                <w:sz w:val="24"/>
                <w:szCs w:val="24"/>
              </w:rPr>
              <w:t>10</w:t>
            </w:r>
            <w:r>
              <w:rPr>
                <w:rFonts w:ascii="Times New Roman" w:hAnsi="Times New Roman" w:hint="eastAsia"/>
                <w:kern w:val="2"/>
                <w:sz w:val="24"/>
                <w:szCs w:val="24"/>
              </w:rPr>
              <w:t>·</w:t>
            </w:r>
            <w:r>
              <w:rPr>
                <w:rFonts w:ascii="Times New Roman" w:hAnsi="Times New Roman" w:hint="eastAsia"/>
                <w:kern w:val="2"/>
                <w:sz w:val="24"/>
                <w:szCs w:val="24"/>
              </w:rPr>
              <w:t>1</w:t>
            </w:r>
            <w:r>
              <w:rPr>
                <w:rFonts w:ascii="Times New Roman" w:hAnsi="Times New Roman" w:hint="eastAsia"/>
                <w:kern w:val="2"/>
                <w:sz w:val="24"/>
                <w:szCs w:val="24"/>
              </w:rPr>
              <w:t>·</w:t>
            </w:r>
            <w:r>
              <w:rPr>
                <w:rFonts w:ascii="Times New Roman" w:hAnsi="Times New Roman" w:hint="eastAsia"/>
                <w:kern w:val="2"/>
                <w:sz w:val="24"/>
                <w:szCs w:val="24"/>
              </w:rPr>
              <w:t>6</w:t>
            </w:r>
            <w:r>
              <w:rPr>
                <w:rFonts w:ascii="Times New Roman" w:hAnsi="Times New Roman" w:hint="eastAsia"/>
                <w:kern w:val="2"/>
                <w:sz w:val="24"/>
                <w:szCs w:val="24"/>
              </w:rPr>
              <w:t>条</w:t>
            </w:r>
          </w:p>
          <w:p w:rsidR="009746AC" w:rsidRDefault="00052CA2">
            <w:pPr>
              <w:pStyle w:val="a7"/>
              <w:widowControl/>
              <w:spacing w:line="420" w:lineRule="atLeast"/>
              <w:rPr>
                <w:rFonts w:ascii="Times New Roman" w:hAnsi="Times New Roman"/>
                <w:kern w:val="2"/>
                <w:sz w:val="24"/>
                <w:szCs w:val="24"/>
              </w:rPr>
            </w:pPr>
            <w:r>
              <w:rPr>
                <w:rFonts w:ascii="Times New Roman" w:hAnsi="Times New Roman" w:hint="eastAsia"/>
                <w:kern w:val="2"/>
                <w:sz w:val="24"/>
                <w:szCs w:val="24"/>
              </w:rPr>
              <w:t>2</w:t>
            </w:r>
            <w:r>
              <w:rPr>
                <w:rFonts w:ascii="Times New Roman" w:hAnsi="Times New Roman" w:hint="eastAsia"/>
                <w:kern w:val="2"/>
                <w:sz w:val="24"/>
                <w:szCs w:val="24"/>
              </w:rPr>
              <w:t>》建筑内的电缆井应在每层楼板处采用不低于楼板耐火极限的不燃材料或防火封堵材料封堵。违反《</w:t>
            </w:r>
            <w:r>
              <w:rPr>
                <w:rFonts w:ascii="Times New Roman" w:hAnsi="Times New Roman"/>
                <w:kern w:val="2"/>
                <w:sz w:val="24"/>
                <w:szCs w:val="24"/>
              </w:rPr>
              <w:t>建筑设计</w:t>
            </w:r>
            <w:r>
              <w:rPr>
                <w:rFonts w:ascii="Times New Roman" w:hAnsi="Times New Roman" w:hint="eastAsia"/>
                <w:kern w:val="2"/>
                <w:sz w:val="24"/>
                <w:szCs w:val="24"/>
              </w:rPr>
              <w:t>防火</w:t>
            </w:r>
            <w:r>
              <w:rPr>
                <w:rFonts w:ascii="Times New Roman" w:hAnsi="Times New Roman"/>
                <w:kern w:val="2"/>
                <w:sz w:val="24"/>
                <w:szCs w:val="24"/>
              </w:rPr>
              <w:t>规范</w:t>
            </w:r>
            <w:r>
              <w:rPr>
                <w:rFonts w:ascii="Times New Roman" w:hAnsi="Times New Roman" w:hint="eastAsia"/>
                <w:kern w:val="2"/>
                <w:sz w:val="24"/>
                <w:szCs w:val="24"/>
              </w:rPr>
              <w:t>》</w:t>
            </w:r>
            <w:r>
              <w:rPr>
                <w:rFonts w:ascii="Times New Roman" w:hAnsi="Times New Roman" w:hint="eastAsia"/>
                <w:kern w:val="2"/>
                <w:sz w:val="24"/>
                <w:szCs w:val="24"/>
              </w:rPr>
              <w:t>GB50016</w:t>
            </w:r>
            <w:r>
              <w:rPr>
                <w:rFonts w:ascii="Times New Roman" w:hAnsi="Times New Roman"/>
                <w:kern w:val="2"/>
                <w:sz w:val="24"/>
                <w:szCs w:val="24"/>
              </w:rPr>
              <w:t>-2014</w:t>
            </w:r>
            <w:r>
              <w:rPr>
                <w:rFonts w:ascii="Times New Roman" w:hAnsi="Times New Roman" w:hint="eastAsia"/>
                <w:kern w:val="2"/>
                <w:sz w:val="24"/>
                <w:szCs w:val="24"/>
              </w:rPr>
              <w:t>，第</w:t>
            </w:r>
            <w:r>
              <w:rPr>
                <w:rFonts w:ascii="Times New Roman" w:hAnsi="Times New Roman" w:hint="eastAsia"/>
                <w:kern w:val="2"/>
                <w:sz w:val="24"/>
                <w:szCs w:val="24"/>
              </w:rPr>
              <w:t>6</w:t>
            </w:r>
            <w:r>
              <w:rPr>
                <w:rFonts w:ascii="Times New Roman" w:hAnsi="Times New Roman" w:hint="eastAsia"/>
                <w:kern w:val="2"/>
                <w:sz w:val="24"/>
                <w:szCs w:val="24"/>
              </w:rPr>
              <w:t>·</w:t>
            </w:r>
            <w:r>
              <w:rPr>
                <w:rFonts w:ascii="Times New Roman" w:hAnsi="Times New Roman" w:hint="eastAsia"/>
                <w:kern w:val="2"/>
                <w:sz w:val="24"/>
                <w:szCs w:val="24"/>
              </w:rPr>
              <w:t>2</w:t>
            </w:r>
            <w:r>
              <w:rPr>
                <w:rFonts w:ascii="Times New Roman" w:hAnsi="Times New Roman" w:hint="eastAsia"/>
                <w:kern w:val="2"/>
                <w:sz w:val="24"/>
                <w:szCs w:val="24"/>
              </w:rPr>
              <w:t>·</w:t>
            </w:r>
            <w:r>
              <w:rPr>
                <w:rFonts w:ascii="Times New Roman" w:hAnsi="Times New Roman" w:hint="eastAsia"/>
                <w:kern w:val="2"/>
                <w:sz w:val="24"/>
                <w:szCs w:val="24"/>
              </w:rPr>
              <w:t>9</w:t>
            </w:r>
            <w:r>
              <w:rPr>
                <w:rFonts w:ascii="Times New Roman" w:hAnsi="Times New Roman" w:hint="eastAsia"/>
                <w:kern w:val="2"/>
                <w:sz w:val="24"/>
                <w:szCs w:val="24"/>
              </w:rPr>
              <w:t>·</w:t>
            </w:r>
            <w:r>
              <w:rPr>
                <w:rFonts w:ascii="Times New Roman" w:hAnsi="Times New Roman" w:hint="eastAsia"/>
                <w:kern w:val="2"/>
                <w:sz w:val="24"/>
                <w:szCs w:val="24"/>
              </w:rPr>
              <w:t>3</w:t>
            </w:r>
            <w:r>
              <w:rPr>
                <w:rFonts w:ascii="Times New Roman" w:hAnsi="Times New Roman" w:hint="eastAsia"/>
                <w:kern w:val="2"/>
                <w:sz w:val="24"/>
                <w:szCs w:val="24"/>
              </w:rPr>
              <w:t>条</w:t>
            </w:r>
          </w:p>
          <w:p w:rsidR="009746AC" w:rsidRDefault="00052CA2">
            <w:pPr>
              <w:pStyle w:val="a7"/>
              <w:widowControl/>
              <w:spacing w:line="420" w:lineRule="atLeast"/>
              <w:rPr>
                <w:rFonts w:ascii="Times New Roman" w:hAnsi="Times New Roman"/>
                <w:kern w:val="2"/>
                <w:sz w:val="24"/>
                <w:szCs w:val="24"/>
              </w:rPr>
            </w:pPr>
            <w:r>
              <w:rPr>
                <w:rFonts w:ascii="Times New Roman" w:hAnsi="Times New Roman" w:hint="eastAsia"/>
                <w:kern w:val="2"/>
                <w:sz w:val="24"/>
                <w:szCs w:val="24"/>
              </w:rPr>
              <w:t>3</w:t>
            </w:r>
            <w:r>
              <w:rPr>
                <w:rFonts w:ascii="Times New Roman" w:hAnsi="Times New Roman" w:hint="eastAsia"/>
                <w:kern w:val="2"/>
                <w:sz w:val="24"/>
                <w:szCs w:val="24"/>
              </w:rPr>
              <w:t>》设计说明中《建筑物电子信息系统防雷技术规范》</w:t>
            </w:r>
            <w:r>
              <w:rPr>
                <w:rFonts w:ascii="Times New Roman" w:hAnsi="Times New Roman" w:hint="eastAsia"/>
                <w:kern w:val="2"/>
                <w:sz w:val="24"/>
                <w:szCs w:val="24"/>
              </w:rPr>
              <w:lastRenderedPageBreak/>
              <w:t>GB50</w:t>
            </w:r>
            <w:r>
              <w:rPr>
                <w:rFonts w:ascii="Times New Roman" w:hAnsi="Times New Roman" w:hint="eastAsia"/>
                <w:kern w:val="2"/>
                <w:sz w:val="24"/>
                <w:szCs w:val="24"/>
              </w:rPr>
              <w:t>343</w:t>
            </w:r>
            <w:r>
              <w:rPr>
                <w:rFonts w:ascii="Times New Roman" w:hAnsi="Times New Roman"/>
                <w:kern w:val="2"/>
                <w:sz w:val="24"/>
                <w:szCs w:val="24"/>
              </w:rPr>
              <w:t>-20</w:t>
            </w:r>
            <w:r>
              <w:rPr>
                <w:rFonts w:ascii="Times New Roman" w:hAnsi="Times New Roman" w:hint="eastAsia"/>
                <w:kern w:val="2"/>
                <w:sz w:val="24"/>
                <w:szCs w:val="24"/>
              </w:rPr>
              <w:t>0</w:t>
            </w:r>
            <w:r>
              <w:rPr>
                <w:rFonts w:ascii="Times New Roman" w:hAnsi="Times New Roman"/>
                <w:kern w:val="2"/>
                <w:sz w:val="24"/>
                <w:szCs w:val="24"/>
              </w:rPr>
              <w:t>4</w:t>
            </w:r>
            <w:r>
              <w:rPr>
                <w:rFonts w:ascii="Times New Roman" w:hAnsi="Times New Roman" w:hint="eastAsia"/>
                <w:kern w:val="2"/>
                <w:sz w:val="24"/>
                <w:szCs w:val="24"/>
              </w:rPr>
              <w:t>已经废止。</w:t>
            </w:r>
          </w:p>
          <w:p w:rsidR="009746AC" w:rsidRDefault="009746AC">
            <w:pPr>
              <w:pStyle w:val="a7"/>
              <w:widowControl/>
              <w:spacing w:line="420" w:lineRule="atLeast"/>
            </w:pPr>
          </w:p>
          <w:p w:rsidR="009746AC" w:rsidRDefault="009746AC">
            <w:pPr>
              <w:pStyle w:val="a7"/>
              <w:widowControl/>
              <w:spacing w:line="420" w:lineRule="atLeast"/>
              <w:rPr>
                <w:sz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9746AC">
            <w:pPr>
              <w:spacing w:line="440" w:lineRule="exact"/>
              <w:jc w:val="center"/>
              <w:rPr>
                <w:rFonts w:ascii="仿宋" w:eastAsia="仿宋" w:hAnsi="仿宋" w:cs="仿宋"/>
                <w:color w:val="000000"/>
                <w:sz w:val="28"/>
                <w:szCs w:val="28"/>
              </w:rPr>
            </w:pPr>
          </w:p>
        </w:tc>
      </w:tr>
      <w:tr w:rsidR="009746AC">
        <w:trPr>
          <w:trHeight w:val="286"/>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052CA2">
            <w:pPr>
              <w:spacing w:line="440" w:lineRule="exact"/>
              <w:jc w:val="center"/>
              <w:rPr>
                <w:sz w:val="24"/>
              </w:rPr>
            </w:pPr>
            <w:r>
              <w:rPr>
                <w:rFonts w:hint="eastAsia"/>
                <w:sz w:val="24"/>
              </w:rPr>
              <w:lastRenderedPageBreak/>
              <w:t>2</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052CA2">
            <w:pPr>
              <w:spacing w:line="440" w:lineRule="exact"/>
              <w:jc w:val="center"/>
              <w:rPr>
                <w:sz w:val="24"/>
              </w:rPr>
            </w:pPr>
            <w:r>
              <w:rPr>
                <w:rFonts w:hint="eastAsia"/>
                <w:sz w:val="24"/>
              </w:rPr>
              <w:t>三明学院产教融合实训基地建设项目二期（艺术综合楼）</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052CA2">
            <w:pPr>
              <w:spacing w:line="440" w:lineRule="exact"/>
              <w:jc w:val="center"/>
              <w:rPr>
                <w:sz w:val="24"/>
              </w:rPr>
            </w:pPr>
            <w:r>
              <w:rPr>
                <w:rFonts w:hint="eastAsia"/>
                <w:sz w:val="24"/>
              </w:rPr>
              <w:t>三明</w:t>
            </w:r>
            <w:r>
              <w:rPr>
                <w:rFonts w:hint="eastAsia"/>
                <w:sz w:val="24"/>
              </w:rPr>
              <w:t>市</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052CA2">
            <w:pPr>
              <w:spacing w:line="440" w:lineRule="exact"/>
              <w:jc w:val="center"/>
              <w:rPr>
                <w:sz w:val="24"/>
              </w:rPr>
            </w:pPr>
            <w:r>
              <w:rPr>
                <w:rFonts w:hint="eastAsia"/>
                <w:sz w:val="24"/>
              </w:rPr>
              <w:t>14328</w:t>
            </w:r>
            <w:r>
              <w:rPr>
                <w:rFonts w:hint="eastAsia"/>
                <w:sz w:val="24"/>
              </w:rPr>
              <w:t>平米</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9746AC">
            <w:pPr>
              <w:spacing w:line="440" w:lineRule="exact"/>
              <w:jc w:val="center"/>
              <w:rPr>
                <w:sz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052CA2">
            <w:pPr>
              <w:spacing w:line="440" w:lineRule="exact"/>
              <w:jc w:val="center"/>
              <w:rPr>
                <w:sz w:val="24"/>
              </w:rPr>
            </w:pPr>
            <w:r>
              <w:rPr>
                <w:rFonts w:hint="eastAsia"/>
                <w:sz w:val="24"/>
              </w:rPr>
              <w:t>中科院建筑设计研究院有限公司</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052CA2">
            <w:pPr>
              <w:spacing w:line="440" w:lineRule="exact"/>
              <w:jc w:val="center"/>
              <w:rPr>
                <w:sz w:val="24"/>
              </w:rPr>
            </w:pPr>
            <w:r>
              <w:rPr>
                <w:rFonts w:hint="eastAsia"/>
                <w:sz w:val="24"/>
              </w:rPr>
              <w:t>是</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052CA2">
            <w:pPr>
              <w:spacing w:line="440" w:lineRule="exact"/>
              <w:jc w:val="center"/>
              <w:rPr>
                <w:sz w:val="24"/>
              </w:rPr>
            </w:pPr>
            <w:r>
              <w:rPr>
                <w:rFonts w:hint="eastAsia"/>
                <w:sz w:val="24"/>
              </w:rPr>
              <w:t>1</w:t>
            </w:r>
            <w:r>
              <w:rPr>
                <w:rFonts w:hint="eastAsia"/>
                <w:sz w:val="24"/>
              </w:rPr>
              <w:t>》</w:t>
            </w:r>
            <w:r>
              <w:rPr>
                <w:sz w:val="24"/>
              </w:rPr>
              <w:t>消防应急照明和疏散指示标志等</w:t>
            </w:r>
            <w:r>
              <w:rPr>
                <w:rFonts w:hint="eastAsia"/>
                <w:sz w:val="24"/>
              </w:rPr>
              <w:t>消防</w:t>
            </w:r>
            <w:r>
              <w:rPr>
                <w:sz w:val="24"/>
              </w:rPr>
              <w:t>用电设备的供电应在其配电线路的最末一级配电箱处</w:t>
            </w:r>
            <w:r>
              <w:rPr>
                <w:rFonts w:hint="eastAsia"/>
                <w:sz w:val="24"/>
              </w:rPr>
              <w:t>（</w:t>
            </w:r>
            <w:r>
              <w:rPr>
                <w:sz w:val="24"/>
              </w:rPr>
              <w:t>所在防火分区的配电箱</w:t>
            </w:r>
            <w:r>
              <w:rPr>
                <w:rFonts w:hint="eastAsia"/>
                <w:sz w:val="24"/>
              </w:rPr>
              <w:t>）</w:t>
            </w:r>
            <w:r>
              <w:rPr>
                <w:sz w:val="24"/>
              </w:rPr>
              <w:t>设置自动切换装置。</w:t>
            </w:r>
            <w:r>
              <w:rPr>
                <w:rFonts w:hint="eastAsia"/>
                <w:sz w:val="24"/>
              </w:rPr>
              <w:t>违反《</w:t>
            </w:r>
            <w:r>
              <w:rPr>
                <w:sz w:val="24"/>
              </w:rPr>
              <w:t>建筑设计</w:t>
            </w:r>
            <w:r>
              <w:rPr>
                <w:rFonts w:hint="eastAsia"/>
                <w:sz w:val="24"/>
              </w:rPr>
              <w:t>防火</w:t>
            </w:r>
            <w:r>
              <w:rPr>
                <w:sz w:val="24"/>
              </w:rPr>
              <w:t>规范</w:t>
            </w:r>
            <w:r>
              <w:rPr>
                <w:rFonts w:hint="eastAsia"/>
                <w:sz w:val="24"/>
              </w:rPr>
              <w:t>》</w:t>
            </w:r>
            <w:r>
              <w:rPr>
                <w:rFonts w:hint="eastAsia"/>
                <w:sz w:val="24"/>
              </w:rPr>
              <w:t>GB50016</w:t>
            </w:r>
            <w:r>
              <w:rPr>
                <w:sz w:val="24"/>
              </w:rPr>
              <w:t>-2014</w:t>
            </w:r>
            <w:r>
              <w:rPr>
                <w:rFonts w:hint="eastAsia"/>
                <w:sz w:val="24"/>
              </w:rPr>
              <w:t>，第</w:t>
            </w:r>
            <w:r>
              <w:rPr>
                <w:rFonts w:hint="eastAsia"/>
                <w:sz w:val="24"/>
              </w:rPr>
              <w:t>10</w:t>
            </w:r>
            <w:r>
              <w:rPr>
                <w:rFonts w:hint="eastAsia"/>
                <w:sz w:val="24"/>
              </w:rPr>
              <w:t>·</w:t>
            </w:r>
            <w:r>
              <w:rPr>
                <w:rFonts w:hint="eastAsia"/>
                <w:sz w:val="24"/>
              </w:rPr>
              <w:t>1</w:t>
            </w:r>
            <w:r>
              <w:rPr>
                <w:rFonts w:hint="eastAsia"/>
                <w:sz w:val="24"/>
              </w:rPr>
              <w:t>·</w:t>
            </w:r>
            <w:r>
              <w:rPr>
                <w:rFonts w:hint="eastAsia"/>
                <w:sz w:val="24"/>
              </w:rPr>
              <w:t>8</w:t>
            </w:r>
            <w:r>
              <w:rPr>
                <w:rFonts w:hint="eastAsia"/>
                <w:sz w:val="24"/>
              </w:rPr>
              <w:t>条</w:t>
            </w:r>
          </w:p>
          <w:p w:rsidR="009746AC" w:rsidRDefault="00052CA2">
            <w:pPr>
              <w:pStyle w:val="a7"/>
              <w:widowControl/>
              <w:spacing w:line="420" w:lineRule="atLeast"/>
              <w:rPr>
                <w:rFonts w:ascii="Times New Roman" w:hAnsi="Times New Roman"/>
                <w:kern w:val="2"/>
                <w:sz w:val="24"/>
                <w:szCs w:val="24"/>
              </w:rPr>
            </w:pPr>
            <w:r>
              <w:rPr>
                <w:rFonts w:ascii="Times New Roman" w:hAnsi="Times New Roman" w:hint="eastAsia"/>
                <w:kern w:val="2"/>
                <w:sz w:val="24"/>
                <w:szCs w:val="24"/>
              </w:rPr>
              <w:t>2</w:t>
            </w:r>
            <w:r>
              <w:rPr>
                <w:rFonts w:ascii="Times New Roman" w:hAnsi="Times New Roman" w:hint="eastAsia"/>
                <w:kern w:val="2"/>
                <w:sz w:val="24"/>
                <w:szCs w:val="24"/>
              </w:rPr>
              <w:t>》</w:t>
            </w:r>
            <w:r>
              <w:rPr>
                <w:rFonts w:ascii="Times New Roman" w:hAnsi="Times New Roman" w:hint="eastAsia"/>
                <w:kern w:val="2"/>
                <w:sz w:val="24"/>
                <w:szCs w:val="24"/>
              </w:rPr>
              <w:t>缺建筑机电工程抗震设计。</w:t>
            </w:r>
          </w:p>
          <w:p w:rsidR="009746AC" w:rsidRDefault="009746AC">
            <w:pPr>
              <w:spacing w:line="440" w:lineRule="exact"/>
              <w:jc w:val="center"/>
              <w:rPr>
                <w:sz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9746AC">
            <w:pPr>
              <w:spacing w:line="440" w:lineRule="exact"/>
              <w:jc w:val="center"/>
              <w:rPr>
                <w:rFonts w:ascii="仿宋" w:eastAsia="仿宋" w:hAnsi="仿宋" w:cs="仿宋"/>
                <w:color w:val="000000"/>
                <w:sz w:val="28"/>
                <w:szCs w:val="28"/>
              </w:rPr>
            </w:pPr>
          </w:p>
        </w:tc>
      </w:tr>
      <w:tr w:rsidR="009746AC">
        <w:trPr>
          <w:trHeight w:val="286"/>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052CA2">
            <w:pPr>
              <w:ind w:firstLineChars="100" w:firstLine="240"/>
              <w:rPr>
                <w:sz w:val="24"/>
              </w:rPr>
            </w:pPr>
            <w:r>
              <w:rPr>
                <w:rFonts w:hint="eastAsia"/>
                <w:sz w:val="24"/>
              </w:rPr>
              <w:t>3</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052CA2">
            <w:pPr>
              <w:rPr>
                <w:sz w:val="24"/>
              </w:rPr>
            </w:pPr>
            <w:r>
              <w:rPr>
                <w:rFonts w:hint="eastAsia"/>
                <w:sz w:val="24"/>
              </w:rPr>
              <w:t>康城一品（</w:t>
            </w:r>
            <w:r>
              <w:rPr>
                <w:rFonts w:hint="eastAsia"/>
                <w:sz w:val="24"/>
              </w:rPr>
              <w:t>7#</w:t>
            </w:r>
            <w:r>
              <w:rPr>
                <w:rFonts w:hint="eastAsia"/>
                <w:sz w:val="24"/>
              </w:rPr>
              <w:t>楼</w:t>
            </w:r>
            <w:r>
              <w:rPr>
                <w:rFonts w:hint="eastAsia"/>
                <w:sz w:val="24"/>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052CA2">
            <w:pPr>
              <w:rPr>
                <w:sz w:val="24"/>
              </w:rPr>
            </w:pPr>
            <w:r>
              <w:rPr>
                <w:rFonts w:hint="eastAsia"/>
                <w:sz w:val="24"/>
              </w:rPr>
              <w:t>三明</w:t>
            </w:r>
            <w:r>
              <w:rPr>
                <w:rFonts w:hint="eastAsia"/>
                <w:sz w:val="24"/>
              </w:rPr>
              <w:t>市</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052CA2">
            <w:pPr>
              <w:rPr>
                <w:sz w:val="24"/>
              </w:rPr>
            </w:pPr>
            <w:r>
              <w:rPr>
                <w:rFonts w:hint="eastAsia"/>
                <w:sz w:val="24"/>
              </w:rPr>
              <w:t>9151</w:t>
            </w:r>
            <w:r>
              <w:rPr>
                <w:rFonts w:hint="eastAsia"/>
                <w:sz w:val="24"/>
              </w:rPr>
              <w:t>平米</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9746AC">
            <w:pPr>
              <w:rPr>
                <w:sz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052CA2">
            <w:pPr>
              <w:rPr>
                <w:sz w:val="24"/>
              </w:rPr>
            </w:pPr>
            <w:r>
              <w:rPr>
                <w:rFonts w:hint="eastAsia"/>
                <w:sz w:val="24"/>
              </w:rPr>
              <w:t>中科院建筑设计研究院有限公司</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052CA2">
            <w:pPr>
              <w:ind w:firstLineChars="100" w:firstLine="240"/>
              <w:rPr>
                <w:sz w:val="24"/>
              </w:rPr>
            </w:pPr>
            <w:r>
              <w:rPr>
                <w:rFonts w:hint="eastAsia"/>
                <w:sz w:val="24"/>
              </w:rPr>
              <w:t>是</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052CA2">
            <w:pPr>
              <w:rPr>
                <w:sz w:val="24"/>
              </w:rPr>
            </w:pPr>
            <w:r>
              <w:rPr>
                <w:rFonts w:hint="eastAsia"/>
                <w:sz w:val="24"/>
              </w:rPr>
              <w:t>1</w:t>
            </w:r>
            <w:r>
              <w:rPr>
                <w:rFonts w:hint="eastAsia"/>
                <w:sz w:val="24"/>
              </w:rPr>
              <w:t>》</w:t>
            </w:r>
            <w:r>
              <w:rPr>
                <w:sz w:val="24"/>
              </w:rPr>
              <w:t>消防应急照明和疏散指示标志等</w:t>
            </w:r>
            <w:r>
              <w:rPr>
                <w:rFonts w:hint="eastAsia"/>
                <w:sz w:val="24"/>
              </w:rPr>
              <w:t>消防</w:t>
            </w:r>
            <w:r>
              <w:rPr>
                <w:sz w:val="24"/>
              </w:rPr>
              <w:t>用电设备的供电应在其配电线路的最末一级配电箱处</w:t>
            </w:r>
            <w:r>
              <w:rPr>
                <w:rFonts w:hint="eastAsia"/>
                <w:sz w:val="24"/>
              </w:rPr>
              <w:t>（</w:t>
            </w:r>
            <w:r>
              <w:rPr>
                <w:sz w:val="24"/>
              </w:rPr>
              <w:t>所在防火分区的配电箱</w:t>
            </w:r>
            <w:r>
              <w:rPr>
                <w:rFonts w:hint="eastAsia"/>
                <w:sz w:val="24"/>
              </w:rPr>
              <w:t>）</w:t>
            </w:r>
            <w:r>
              <w:rPr>
                <w:sz w:val="24"/>
              </w:rPr>
              <w:t>设置自动切换装置。</w:t>
            </w:r>
            <w:r>
              <w:rPr>
                <w:rFonts w:hint="eastAsia"/>
                <w:sz w:val="24"/>
              </w:rPr>
              <w:t>违反《</w:t>
            </w:r>
            <w:r>
              <w:rPr>
                <w:sz w:val="24"/>
              </w:rPr>
              <w:t>建筑设计</w:t>
            </w:r>
            <w:r>
              <w:rPr>
                <w:rFonts w:hint="eastAsia"/>
                <w:sz w:val="24"/>
              </w:rPr>
              <w:t>防火</w:t>
            </w:r>
            <w:r>
              <w:rPr>
                <w:sz w:val="24"/>
              </w:rPr>
              <w:t>规范</w:t>
            </w:r>
            <w:r>
              <w:rPr>
                <w:rFonts w:hint="eastAsia"/>
                <w:sz w:val="24"/>
              </w:rPr>
              <w:t>》</w:t>
            </w:r>
            <w:r>
              <w:rPr>
                <w:rFonts w:hint="eastAsia"/>
                <w:sz w:val="24"/>
              </w:rPr>
              <w:t>GB50016</w:t>
            </w:r>
            <w:r>
              <w:rPr>
                <w:sz w:val="24"/>
              </w:rPr>
              <w:t>-2014</w:t>
            </w:r>
            <w:r>
              <w:rPr>
                <w:rFonts w:hint="eastAsia"/>
                <w:sz w:val="24"/>
              </w:rPr>
              <w:t>，第</w:t>
            </w:r>
            <w:r>
              <w:rPr>
                <w:rFonts w:hint="eastAsia"/>
                <w:sz w:val="24"/>
              </w:rPr>
              <w:t>10</w:t>
            </w:r>
            <w:r>
              <w:rPr>
                <w:rFonts w:hint="eastAsia"/>
                <w:sz w:val="24"/>
              </w:rPr>
              <w:t>·</w:t>
            </w:r>
            <w:r>
              <w:rPr>
                <w:rFonts w:hint="eastAsia"/>
                <w:sz w:val="24"/>
              </w:rPr>
              <w:t>1</w:t>
            </w:r>
            <w:r>
              <w:rPr>
                <w:rFonts w:hint="eastAsia"/>
                <w:sz w:val="24"/>
              </w:rPr>
              <w:t>·</w:t>
            </w:r>
            <w:r>
              <w:rPr>
                <w:rFonts w:hint="eastAsia"/>
                <w:sz w:val="24"/>
              </w:rPr>
              <w:t>8</w:t>
            </w:r>
            <w:r>
              <w:rPr>
                <w:rFonts w:hint="eastAsia"/>
                <w:sz w:val="24"/>
              </w:rPr>
              <w:t>条</w:t>
            </w:r>
          </w:p>
          <w:p w:rsidR="009746AC" w:rsidRDefault="00052CA2">
            <w:pPr>
              <w:rPr>
                <w:sz w:val="24"/>
              </w:rPr>
            </w:pPr>
            <w:r>
              <w:rPr>
                <w:rFonts w:hint="eastAsia"/>
                <w:sz w:val="24"/>
              </w:rPr>
              <w:t>2</w:t>
            </w:r>
            <w:r>
              <w:rPr>
                <w:rFonts w:hint="eastAsia"/>
                <w:sz w:val="24"/>
              </w:rPr>
              <w:t>》</w:t>
            </w:r>
            <w:r>
              <w:rPr>
                <w:sz w:val="24"/>
              </w:rPr>
              <w:t>火灾自动报警系统应设置交流电源和蓄电池备用电源。</w:t>
            </w:r>
            <w:r>
              <w:rPr>
                <w:rFonts w:hint="eastAsia"/>
                <w:sz w:val="24"/>
              </w:rPr>
              <w:lastRenderedPageBreak/>
              <w:t>违反</w:t>
            </w:r>
            <w:r>
              <w:rPr>
                <w:sz w:val="24"/>
              </w:rPr>
              <w:t>《火灾自动报警系统设计规范》</w:t>
            </w:r>
            <w:r>
              <w:rPr>
                <w:sz w:val="24"/>
              </w:rPr>
              <w:t>GB 50116-2013</w:t>
            </w:r>
            <w:r>
              <w:rPr>
                <w:rFonts w:hint="eastAsia"/>
                <w:sz w:val="24"/>
              </w:rPr>
              <w:t>第</w:t>
            </w:r>
            <w:r>
              <w:rPr>
                <w:rFonts w:hint="eastAsia"/>
                <w:sz w:val="24"/>
              </w:rPr>
              <w:t>10.1.1</w:t>
            </w:r>
            <w:r>
              <w:rPr>
                <w:rFonts w:hint="eastAsia"/>
                <w:sz w:val="24"/>
              </w:rPr>
              <w:t>条</w:t>
            </w:r>
            <w:r>
              <w:rPr>
                <w:rFonts w:hint="eastAsia"/>
                <w:sz w:val="24"/>
              </w:rPr>
              <w:t xml:space="preserve"> </w:t>
            </w:r>
          </w:p>
          <w:p w:rsidR="009746AC" w:rsidRDefault="00052CA2">
            <w:pPr>
              <w:rPr>
                <w:sz w:val="24"/>
              </w:rPr>
            </w:pPr>
            <w:r>
              <w:rPr>
                <w:rFonts w:hint="eastAsia"/>
                <w:sz w:val="24"/>
              </w:rPr>
              <w:t>3</w:t>
            </w:r>
            <w:r>
              <w:rPr>
                <w:rFonts w:hint="eastAsia"/>
                <w:sz w:val="24"/>
              </w:rPr>
              <w:t>》分数设置的集中电源应由所在防火分区的消防电源配电箱供电。不符合</w:t>
            </w:r>
            <w:r>
              <w:rPr>
                <w:sz w:val="24"/>
              </w:rPr>
              <w:t>《</w:t>
            </w:r>
            <w:r>
              <w:rPr>
                <w:rFonts w:hint="eastAsia"/>
                <w:sz w:val="24"/>
              </w:rPr>
              <w:t>消防应急照明和疏散指示系统技术标准</w:t>
            </w:r>
            <w:r>
              <w:rPr>
                <w:sz w:val="24"/>
              </w:rPr>
              <w:t>》</w:t>
            </w:r>
            <w:r>
              <w:rPr>
                <w:sz w:val="24"/>
              </w:rPr>
              <w:t>GB 5</w:t>
            </w:r>
            <w:r>
              <w:rPr>
                <w:rFonts w:hint="eastAsia"/>
                <w:sz w:val="24"/>
              </w:rPr>
              <w:t>1309</w:t>
            </w:r>
            <w:r>
              <w:rPr>
                <w:sz w:val="24"/>
              </w:rPr>
              <w:t>-201</w:t>
            </w:r>
            <w:r>
              <w:rPr>
                <w:rFonts w:hint="eastAsia"/>
                <w:sz w:val="24"/>
              </w:rPr>
              <w:t>8</w:t>
            </w:r>
            <w:r>
              <w:rPr>
                <w:rFonts w:hint="eastAsia"/>
                <w:sz w:val="24"/>
              </w:rPr>
              <w:t>第</w:t>
            </w:r>
            <w:r>
              <w:rPr>
                <w:rFonts w:hint="eastAsia"/>
                <w:sz w:val="24"/>
              </w:rPr>
              <w:t>3</w:t>
            </w:r>
            <w:r>
              <w:rPr>
                <w:rFonts w:hint="eastAsia"/>
                <w:sz w:val="24"/>
              </w:rPr>
              <w:t>.</w:t>
            </w:r>
            <w:r>
              <w:rPr>
                <w:rFonts w:hint="eastAsia"/>
                <w:sz w:val="24"/>
              </w:rPr>
              <w:t>3</w:t>
            </w:r>
            <w:r>
              <w:rPr>
                <w:rFonts w:hint="eastAsia"/>
                <w:sz w:val="24"/>
              </w:rPr>
              <w:t>.</w:t>
            </w:r>
            <w:r>
              <w:rPr>
                <w:rFonts w:hint="eastAsia"/>
                <w:sz w:val="24"/>
              </w:rPr>
              <w:t>8</w:t>
            </w:r>
            <w:r>
              <w:rPr>
                <w:rFonts w:hint="eastAsia"/>
                <w:sz w:val="24"/>
              </w:rPr>
              <w:t>.</w:t>
            </w:r>
            <w:r>
              <w:rPr>
                <w:rFonts w:hint="eastAsia"/>
                <w:sz w:val="24"/>
              </w:rPr>
              <w:t>3</w:t>
            </w:r>
            <w:r>
              <w:rPr>
                <w:rFonts w:hint="eastAsia"/>
                <w:sz w:val="24"/>
              </w:rPr>
              <w:t>条</w:t>
            </w:r>
            <w:r>
              <w:rPr>
                <w:rFonts w:hint="eastAsia"/>
                <w:sz w:val="24"/>
              </w:rPr>
              <w:t xml:space="preserve"> </w:t>
            </w:r>
          </w:p>
          <w:p w:rsidR="009746AC" w:rsidRDefault="009746AC">
            <w:pPr>
              <w:spacing w:line="440" w:lineRule="exact"/>
              <w:rPr>
                <w:sz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AC" w:rsidRDefault="009746AC">
            <w:pPr>
              <w:spacing w:line="440" w:lineRule="exact"/>
              <w:jc w:val="center"/>
              <w:rPr>
                <w:rFonts w:ascii="仿宋" w:eastAsia="仿宋" w:hAnsi="仿宋" w:cs="仿宋"/>
                <w:color w:val="000000"/>
                <w:sz w:val="28"/>
                <w:szCs w:val="28"/>
              </w:rPr>
            </w:pPr>
          </w:p>
        </w:tc>
      </w:tr>
    </w:tbl>
    <w:p w:rsidR="009746AC" w:rsidRDefault="009746AC">
      <w:pPr>
        <w:rPr>
          <w:rFonts w:ascii="仿宋" w:eastAsia="仿宋" w:hAnsi="仿宋" w:cs="仿宋"/>
          <w:sz w:val="32"/>
          <w:szCs w:val="32"/>
        </w:rPr>
      </w:pPr>
      <w:bookmarkStart w:id="0" w:name="_GoBack"/>
      <w:bookmarkEnd w:id="0"/>
    </w:p>
    <w:p w:rsidR="009746AC" w:rsidRDefault="009746AC"/>
    <w:sectPr w:rsidR="009746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CA2" w:rsidRDefault="00052CA2" w:rsidP="006D72B3">
      <w:r>
        <w:separator/>
      </w:r>
    </w:p>
  </w:endnote>
  <w:endnote w:type="continuationSeparator" w:id="0">
    <w:p w:rsidR="00052CA2" w:rsidRDefault="00052CA2" w:rsidP="006D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CA2" w:rsidRDefault="00052CA2" w:rsidP="006D72B3">
      <w:r>
        <w:separator/>
      </w:r>
    </w:p>
  </w:footnote>
  <w:footnote w:type="continuationSeparator" w:id="0">
    <w:p w:rsidR="00052CA2" w:rsidRDefault="00052CA2" w:rsidP="006D7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FE"/>
    <w:rsid w:val="00000645"/>
    <w:rsid w:val="00003726"/>
    <w:rsid w:val="00013AC4"/>
    <w:rsid w:val="00052CA2"/>
    <w:rsid w:val="00065080"/>
    <w:rsid w:val="0009692A"/>
    <w:rsid w:val="000C4A87"/>
    <w:rsid w:val="000E4A2D"/>
    <w:rsid w:val="00105F16"/>
    <w:rsid w:val="00116776"/>
    <w:rsid w:val="001768FF"/>
    <w:rsid w:val="001A3926"/>
    <w:rsid w:val="001B3C58"/>
    <w:rsid w:val="001C577B"/>
    <w:rsid w:val="001D354E"/>
    <w:rsid w:val="002025AD"/>
    <w:rsid w:val="00232AE1"/>
    <w:rsid w:val="00295ED5"/>
    <w:rsid w:val="002C41B9"/>
    <w:rsid w:val="002D6C51"/>
    <w:rsid w:val="003310CA"/>
    <w:rsid w:val="00365BB1"/>
    <w:rsid w:val="003B050C"/>
    <w:rsid w:val="003E3B90"/>
    <w:rsid w:val="00401E6F"/>
    <w:rsid w:val="00426563"/>
    <w:rsid w:val="0044360C"/>
    <w:rsid w:val="00443B0E"/>
    <w:rsid w:val="0045647A"/>
    <w:rsid w:val="00475D13"/>
    <w:rsid w:val="00525CF8"/>
    <w:rsid w:val="005360F8"/>
    <w:rsid w:val="005521A9"/>
    <w:rsid w:val="005C606A"/>
    <w:rsid w:val="005D44D0"/>
    <w:rsid w:val="00606EA3"/>
    <w:rsid w:val="00614E7C"/>
    <w:rsid w:val="0066343D"/>
    <w:rsid w:val="006A39FE"/>
    <w:rsid w:val="006D72B3"/>
    <w:rsid w:val="006F3967"/>
    <w:rsid w:val="006F6953"/>
    <w:rsid w:val="00726DA5"/>
    <w:rsid w:val="00733370"/>
    <w:rsid w:val="0074741E"/>
    <w:rsid w:val="007C1BD7"/>
    <w:rsid w:val="007E2382"/>
    <w:rsid w:val="007E3029"/>
    <w:rsid w:val="007E3DC2"/>
    <w:rsid w:val="007E5BE4"/>
    <w:rsid w:val="007F1BAD"/>
    <w:rsid w:val="00801363"/>
    <w:rsid w:val="008372EA"/>
    <w:rsid w:val="00855F88"/>
    <w:rsid w:val="0087515B"/>
    <w:rsid w:val="008C3015"/>
    <w:rsid w:val="008D7A98"/>
    <w:rsid w:val="008E4A43"/>
    <w:rsid w:val="00902F54"/>
    <w:rsid w:val="00916018"/>
    <w:rsid w:val="00930B7D"/>
    <w:rsid w:val="009444A8"/>
    <w:rsid w:val="00952A9B"/>
    <w:rsid w:val="00964E8C"/>
    <w:rsid w:val="009746AC"/>
    <w:rsid w:val="009D504F"/>
    <w:rsid w:val="009D5A20"/>
    <w:rsid w:val="009D6D85"/>
    <w:rsid w:val="009E3765"/>
    <w:rsid w:val="00A1743B"/>
    <w:rsid w:val="00A544F0"/>
    <w:rsid w:val="00A67128"/>
    <w:rsid w:val="00AD53D6"/>
    <w:rsid w:val="00B20A3D"/>
    <w:rsid w:val="00B2786E"/>
    <w:rsid w:val="00BF37E1"/>
    <w:rsid w:val="00C309AE"/>
    <w:rsid w:val="00C326FE"/>
    <w:rsid w:val="00C450AB"/>
    <w:rsid w:val="00C50DA2"/>
    <w:rsid w:val="00C6589A"/>
    <w:rsid w:val="00C736E0"/>
    <w:rsid w:val="00C81DEF"/>
    <w:rsid w:val="00C966A6"/>
    <w:rsid w:val="00CB7883"/>
    <w:rsid w:val="00CC21CF"/>
    <w:rsid w:val="00D60739"/>
    <w:rsid w:val="00DA092E"/>
    <w:rsid w:val="00DA2AC2"/>
    <w:rsid w:val="00DC014A"/>
    <w:rsid w:val="00DC4570"/>
    <w:rsid w:val="00DF5CA1"/>
    <w:rsid w:val="00DF70D9"/>
    <w:rsid w:val="00E01DD4"/>
    <w:rsid w:val="00E05C80"/>
    <w:rsid w:val="00E348E3"/>
    <w:rsid w:val="00E47F58"/>
    <w:rsid w:val="00E65875"/>
    <w:rsid w:val="00E7378A"/>
    <w:rsid w:val="00E8030F"/>
    <w:rsid w:val="00E977F7"/>
    <w:rsid w:val="00F0211C"/>
    <w:rsid w:val="00F376C4"/>
    <w:rsid w:val="00F97609"/>
    <w:rsid w:val="056671A4"/>
    <w:rsid w:val="06910696"/>
    <w:rsid w:val="08353E5F"/>
    <w:rsid w:val="0ADC7B23"/>
    <w:rsid w:val="0F1325B5"/>
    <w:rsid w:val="16DC292A"/>
    <w:rsid w:val="1A2649CF"/>
    <w:rsid w:val="1D3F13FB"/>
    <w:rsid w:val="22447BE8"/>
    <w:rsid w:val="28363E46"/>
    <w:rsid w:val="283F7451"/>
    <w:rsid w:val="32DA2A83"/>
    <w:rsid w:val="33EA4D22"/>
    <w:rsid w:val="35167732"/>
    <w:rsid w:val="3A127303"/>
    <w:rsid w:val="3EE97EDF"/>
    <w:rsid w:val="407421C6"/>
    <w:rsid w:val="43396171"/>
    <w:rsid w:val="43F858D1"/>
    <w:rsid w:val="57FC7552"/>
    <w:rsid w:val="5C792A2C"/>
    <w:rsid w:val="69D8203C"/>
    <w:rsid w:val="6BB70841"/>
    <w:rsid w:val="759742ED"/>
    <w:rsid w:val="7A5C7868"/>
    <w:rsid w:val="7B746115"/>
    <w:rsid w:val="7E7B2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8E67EF-2C1F-40ED-A200-DF247A6B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pPr>
      <w:spacing w:beforeAutospacing="1" w:afterAutospacing="1" w:line="330" w:lineRule="atLeast"/>
      <w:jc w:val="left"/>
    </w:pPr>
    <w:rPr>
      <w:rFonts w:ascii="宋体" w:hAnsi="宋体"/>
      <w:kern w:val="0"/>
      <w:sz w:val="22"/>
      <w:szCs w:val="22"/>
    </w:rPr>
  </w:style>
  <w:style w:type="character" w:styleId="a8">
    <w:name w:val="Strong"/>
    <w:basedOn w:val="a0"/>
    <w:qFormat/>
    <w:rPr>
      <w:b/>
    </w:rPr>
  </w:style>
  <w:style w:type="character" w:styleId="a9">
    <w:name w:val="FollowedHyperlink"/>
    <w:basedOn w:val="a0"/>
    <w:rPr>
      <w:color w:val="0000CC"/>
      <w:sz w:val="22"/>
      <w:szCs w:val="22"/>
      <w:u w:val="single"/>
    </w:rPr>
  </w:style>
  <w:style w:type="character" w:styleId="aa">
    <w:name w:val="Hyperlink"/>
    <w:basedOn w:val="a0"/>
    <w:rPr>
      <w:b/>
      <w:color w:val="0000CC"/>
      <w:sz w:val="22"/>
      <w:szCs w:val="22"/>
      <w:u w:val="single"/>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2020-05-28T02:24:00Z</dcterms:created>
  <dcterms:modified xsi:type="dcterms:W3CDTF">2020-06-11T03:53:00Z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