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00" w:lineRule="exact"/>
        <w:ind w:left="0" w:right="0"/>
        <w:jc w:val="center"/>
        <w:textAlignment w:val="auto"/>
        <w:rPr>
          <w:rFonts w:hint="eastAsia" w:ascii="宋体" w:hAnsi="宋体" w:eastAsia="方正小标宋简体" w:cs="方正小标宋简体"/>
          <w:b w:val="0"/>
          <w:bCs w:val="0"/>
          <w:i w:val="0"/>
          <w:iCs w:val="0"/>
          <w:caps w:val="0"/>
          <w:color w:val="auto"/>
          <w:spacing w:val="0"/>
          <w:sz w:val="40"/>
          <w:szCs w:val="40"/>
          <w:highlight w:val="none"/>
          <w:shd w:val="clear" w:color="auto" w:fill="FFFFFF"/>
        </w:rPr>
      </w:pPr>
      <w:bookmarkStart w:id="0" w:name="_GoBack"/>
      <w:r>
        <w:rPr>
          <w:rFonts w:hint="eastAsia" w:ascii="宋体" w:hAnsi="宋体" w:eastAsia="方正小标宋简体" w:cs="方正小标宋简体"/>
          <w:b w:val="0"/>
          <w:bCs w:val="0"/>
          <w:i w:val="0"/>
          <w:iCs w:val="0"/>
          <w:caps w:val="0"/>
          <w:color w:val="auto"/>
          <w:spacing w:val="0"/>
          <w:sz w:val="40"/>
          <w:szCs w:val="40"/>
          <w:highlight w:val="none"/>
          <w:shd w:val="clear" w:color="auto" w:fill="FFFFFF"/>
          <w:lang w:val="en-US" w:eastAsia="zh-CN"/>
        </w:rPr>
        <w:t>进一步规范</w:t>
      </w:r>
      <w:r>
        <w:rPr>
          <w:rFonts w:hint="eastAsia" w:ascii="宋体" w:hAnsi="宋体" w:eastAsia="方正小标宋简体" w:cs="方正小标宋简体"/>
          <w:b w:val="0"/>
          <w:bCs w:val="0"/>
          <w:i w:val="0"/>
          <w:iCs w:val="0"/>
          <w:caps w:val="0"/>
          <w:color w:val="auto"/>
          <w:spacing w:val="0"/>
          <w:sz w:val="40"/>
          <w:szCs w:val="40"/>
          <w:highlight w:val="none"/>
          <w:shd w:val="clear" w:color="auto" w:fill="FFFFFF"/>
        </w:rPr>
        <w:t>“评定分离”招</w:t>
      </w:r>
      <w:r>
        <w:rPr>
          <w:rFonts w:hint="eastAsia" w:ascii="宋体" w:hAnsi="宋体" w:eastAsia="方正小标宋简体" w:cs="方正小标宋简体"/>
          <w:b w:val="0"/>
          <w:bCs w:val="0"/>
          <w:i w:val="0"/>
          <w:iCs w:val="0"/>
          <w:caps w:val="0"/>
          <w:color w:val="auto"/>
          <w:spacing w:val="0"/>
          <w:sz w:val="40"/>
          <w:szCs w:val="40"/>
          <w:highlight w:val="none"/>
          <w:shd w:val="clear" w:color="auto" w:fill="FFFFFF"/>
          <w:lang w:val="en-US" w:eastAsia="zh-CN"/>
        </w:rPr>
        <w:t>投</w:t>
      </w:r>
      <w:r>
        <w:rPr>
          <w:rFonts w:hint="eastAsia" w:ascii="宋体" w:hAnsi="宋体" w:eastAsia="方正小标宋简体" w:cs="方正小标宋简体"/>
          <w:b w:val="0"/>
          <w:bCs w:val="0"/>
          <w:i w:val="0"/>
          <w:iCs w:val="0"/>
          <w:caps w:val="0"/>
          <w:color w:val="auto"/>
          <w:spacing w:val="0"/>
          <w:sz w:val="40"/>
          <w:szCs w:val="40"/>
          <w:highlight w:val="none"/>
          <w:shd w:val="clear" w:color="auto" w:fill="FFFFFF"/>
        </w:rPr>
        <w:t>标</w:t>
      </w:r>
      <w:r>
        <w:rPr>
          <w:rFonts w:hint="eastAsia" w:ascii="宋体" w:hAnsi="宋体" w:eastAsia="方正小标宋简体" w:cs="方正小标宋简体"/>
          <w:b w:val="0"/>
          <w:bCs w:val="0"/>
          <w:i w:val="0"/>
          <w:iCs w:val="0"/>
          <w:caps w:val="0"/>
          <w:color w:val="auto"/>
          <w:spacing w:val="0"/>
          <w:sz w:val="40"/>
          <w:szCs w:val="40"/>
          <w:highlight w:val="none"/>
          <w:shd w:val="clear" w:color="auto" w:fill="FFFFFF"/>
          <w:lang w:val="en-US" w:eastAsia="zh-CN"/>
        </w:rPr>
        <w:t>活动</w:t>
      </w:r>
      <w:r>
        <w:rPr>
          <w:rFonts w:hint="eastAsia" w:ascii="宋体" w:hAnsi="宋体" w:eastAsia="方正小标宋简体" w:cs="方正小标宋简体"/>
          <w:b w:val="0"/>
          <w:bCs w:val="0"/>
          <w:i w:val="0"/>
          <w:iCs w:val="0"/>
          <w:caps w:val="0"/>
          <w:color w:val="auto"/>
          <w:spacing w:val="0"/>
          <w:sz w:val="40"/>
          <w:szCs w:val="40"/>
          <w:highlight w:val="none"/>
          <w:shd w:val="clear" w:color="auto" w:fill="FFFFFF"/>
        </w:rPr>
        <w:t>的指导意见</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600" w:lineRule="exact"/>
        <w:ind w:left="0" w:right="0"/>
        <w:jc w:val="center"/>
        <w:textAlignment w:val="auto"/>
        <w:rPr>
          <w:rFonts w:hint="eastAsia" w:ascii="宋体" w:hAnsi="宋体" w:eastAsia="宋体" w:cs="宋体"/>
          <w:b/>
          <w:bCs/>
          <w:i w:val="0"/>
          <w:iCs w:val="0"/>
          <w:caps w:val="0"/>
          <w:color w:val="auto"/>
          <w:spacing w:val="0"/>
          <w:sz w:val="44"/>
          <w:szCs w:val="44"/>
          <w:highlight w:val="none"/>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12" w:firstLineChars="200"/>
        <w:textAlignment w:val="auto"/>
        <w:rPr>
          <w:rFonts w:hint="eastAsia" w:ascii="宋体" w:hAnsi="宋体" w:eastAsia="仿宋" w:cs="仿宋"/>
          <w:sz w:val="31"/>
          <w:szCs w:val="31"/>
        </w:rPr>
      </w:pPr>
      <w:r>
        <w:rPr>
          <w:rFonts w:hint="eastAsia" w:ascii="宋体" w:hAnsi="宋体" w:eastAsia="黑体" w:cs="黑体"/>
          <w:b w:val="0"/>
          <w:bCs w:val="0"/>
          <w:i w:val="0"/>
          <w:iCs w:val="0"/>
          <w:caps w:val="0"/>
          <w:color w:val="000000"/>
          <w:spacing w:val="0"/>
          <w:sz w:val="31"/>
          <w:szCs w:val="31"/>
          <w:shd w:val="clear" w:color="auto" w:fill="FFFFFF"/>
        </w:rPr>
        <w:t>一、实施原则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_GB2312" w:cs="仿宋_GB2312"/>
          <w:sz w:val="31"/>
          <w:szCs w:val="31"/>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仿宋_GB2312" w:cs="仿宋_GB2312"/>
          <w:i w:val="0"/>
          <w:iCs w:val="0"/>
          <w:caps w:val="0"/>
          <w:color w:val="000000"/>
          <w:spacing w:val="0"/>
          <w:sz w:val="31"/>
          <w:szCs w:val="31"/>
          <w:shd w:val="clear" w:color="auto" w:fill="FFFFFF"/>
        </w:rPr>
        <w:t>房屋建筑和市政基础设施工程项目招标采用“评定分离”方式，应以进一步落实招标人首要责任为切入点，以科学、民主决策为基础，</w:t>
      </w:r>
      <w:r>
        <w:rPr>
          <w:rFonts w:hint="eastAsia" w:ascii="宋体" w:hAnsi="宋体" w:eastAsia="仿宋_GB2312" w:cs="仿宋_GB2312"/>
          <w:i w:val="0"/>
          <w:iCs w:val="0"/>
          <w:caps w:val="0"/>
          <w:color w:val="000000"/>
          <w:spacing w:val="0"/>
          <w:sz w:val="31"/>
          <w:szCs w:val="31"/>
          <w:shd w:val="clear" w:color="auto" w:fill="FFFFFF"/>
          <w:lang w:val="en-US" w:eastAsia="zh-CN"/>
        </w:rPr>
        <w:t>本着有利于招标人落实主体责任、</w:t>
      </w:r>
      <w:r>
        <w:rPr>
          <w:rFonts w:hint="eastAsia" w:ascii="宋体" w:hAnsi="宋体" w:eastAsia="仿宋_GB2312" w:cs="仿宋_GB2312"/>
          <w:i w:val="0"/>
          <w:iCs w:val="0"/>
          <w:caps w:val="0"/>
          <w:color w:val="000000"/>
          <w:spacing w:val="0"/>
          <w:sz w:val="31"/>
          <w:szCs w:val="31"/>
          <w:shd w:val="clear" w:color="auto" w:fill="FFFFFF"/>
        </w:rPr>
        <w:t>有利于推动项目建设顺利实施、有利于</w:t>
      </w:r>
      <w:r>
        <w:rPr>
          <w:rFonts w:hint="eastAsia" w:ascii="宋体" w:hAnsi="宋体" w:eastAsia="仿宋_GB2312" w:cs="仿宋_GB2312"/>
          <w:i w:val="0"/>
          <w:iCs w:val="0"/>
          <w:caps w:val="0"/>
          <w:color w:val="000000"/>
          <w:spacing w:val="0"/>
          <w:sz w:val="31"/>
          <w:szCs w:val="31"/>
          <w:shd w:val="clear" w:color="auto" w:fill="FFFFFF"/>
          <w:lang w:val="en-US" w:eastAsia="zh-CN"/>
        </w:rPr>
        <w:t>降低</w:t>
      </w:r>
      <w:r>
        <w:rPr>
          <w:rFonts w:hint="eastAsia" w:ascii="宋体" w:hAnsi="宋体" w:eastAsia="仿宋_GB2312" w:cs="仿宋_GB2312"/>
          <w:i w:val="0"/>
          <w:iCs w:val="0"/>
          <w:caps w:val="0"/>
          <w:color w:val="000000"/>
          <w:spacing w:val="0"/>
          <w:sz w:val="31"/>
          <w:szCs w:val="31"/>
          <w:shd w:val="clear" w:color="auto" w:fill="FFFFFF"/>
        </w:rPr>
        <w:t>工程成本、有利于我市建筑业健康发展的原则，由招标人建立健全内部控制程序和决策约束机制，合理充分行使定标权，择优确定中标人，保障优化营商环境各项工作顺利开展。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12" w:firstLineChars="200"/>
        <w:textAlignment w:val="auto"/>
        <w:rPr>
          <w:rFonts w:hint="eastAsia" w:ascii="宋体" w:hAnsi="宋体" w:eastAsia="黑体" w:cs="黑体"/>
          <w:b w:val="0"/>
          <w:bCs w:val="0"/>
          <w:i w:val="0"/>
          <w:iCs w:val="0"/>
          <w:caps w:val="0"/>
          <w:color w:val="000000"/>
          <w:spacing w:val="0"/>
          <w:sz w:val="31"/>
          <w:szCs w:val="31"/>
          <w:shd w:val="clear" w:color="auto" w:fill="FFFFFF"/>
        </w:rPr>
      </w:pPr>
      <w:r>
        <w:rPr>
          <w:rFonts w:hint="eastAsia" w:ascii="宋体" w:hAnsi="宋体" w:eastAsia="黑体" w:cs="黑体"/>
          <w:b w:val="0"/>
          <w:bCs w:val="0"/>
          <w:i w:val="0"/>
          <w:iCs w:val="0"/>
          <w:caps w:val="0"/>
          <w:color w:val="000000"/>
          <w:spacing w:val="0"/>
          <w:sz w:val="31"/>
          <w:szCs w:val="31"/>
          <w:shd w:val="clear" w:color="auto" w:fill="FFFFFF"/>
        </w:rPr>
        <w:t>二、评定分离定义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_GB2312" w:cs="仿宋_GB2312"/>
          <w:i w:val="0"/>
          <w:iCs w:val="0"/>
          <w:caps w:val="0"/>
          <w:color w:val="000000"/>
          <w:spacing w:val="0"/>
          <w:sz w:val="31"/>
          <w:szCs w:val="31"/>
          <w:shd w:val="clear" w:color="auto" w:fill="FFFFFF"/>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仿宋_GB2312" w:cs="仿宋_GB2312"/>
          <w:i w:val="0"/>
          <w:iCs w:val="0"/>
          <w:caps w:val="0"/>
          <w:color w:val="000000"/>
          <w:spacing w:val="0"/>
          <w:sz w:val="31"/>
          <w:szCs w:val="31"/>
          <w:shd w:val="clear" w:color="auto" w:fill="FFFFFF"/>
        </w:rPr>
        <w:t>“评定分离”是指按照“公平公正、职责明晰、权责对等、廉洁高效”的要求，招标人在评标委员会评审和推荐的基础上，根据招标文件规定的程序和方法自主确定中标人的评标定标办法。招投标活动中的“评标委员会评标”与“招标人定标”作为相对独立的两个环节进行分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黑体" w:cs="黑体"/>
          <w:b w:val="0"/>
          <w:bCs w:val="0"/>
          <w:i w:val="0"/>
          <w:iCs w:val="0"/>
          <w:caps w:val="0"/>
          <w:color w:val="000000"/>
          <w:spacing w:val="0"/>
          <w:sz w:val="32"/>
          <w:szCs w:val="32"/>
          <w:shd w:val="clear" w:color="auto" w:fill="FFFFFF"/>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黑体" w:cs="黑体"/>
          <w:b w:val="0"/>
          <w:bCs w:val="0"/>
          <w:i w:val="0"/>
          <w:iCs w:val="0"/>
          <w:caps w:val="0"/>
          <w:color w:val="000000"/>
          <w:spacing w:val="0"/>
          <w:sz w:val="31"/>
          <w:szCs w:val="31"/>
          <w:shd w:val="clear" w:color="auto" w:fill="FFFFFF"/>
        </w:rPr>
        <w:t>三、适用范围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12" w:firstLineChars="20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_GB2312" w:cs="仿宋_GB2312"/>
          <w:i w:val="0"/>
          <w:iCs w:val="0"/>
          <w:caps w:val="0"/>
          <w:color w:val="000000"/>
          <w:spacing w:val="0"/>
          <w:sz w:val="31"/>
          <w:szCs w:val="31"/>
          <w:shd w:val="clear" w:color="auto" w:fill="FFFFFF"/>
          <w:lang w:val="en-US" w:eastAsia="zh-CN"/>
        </w:rPr>
        <w:t>三明市行政区域内，政府投资及国有投资等依法必须招标的房屋建筑工程和市政基础设施工程的勘察设计、监理、施工、工程货物、全过程工程咨询、工程总承包，招标人可采用“评定分离”招标方式，采用“评定分离”方式招标的适用本指导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12" w:firstLineChars="200"/>
        <w:textAlignment w:val="auto"/>
        <w:rPr>
          <w:rFonts w:hint="default"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_GB2312" w:cs="仿宋_GB2312"/>
          <w:i w:val="0"/>
          <w:iCs w:val="0"/>
          <w:caps w:val="0"/>
          <w:color w:val="000000"/>
          <w:spacing w:val="0"/>
          <w:sz w:val="31"/>
          <w:szCs w:val="31"/>
          <w:shd w:val="clear" w:color="auto" w:fill="FFFFFF"/>
          <w:lang w:val="en-US" w:eastAsia="zh-CN"/>
        </w:rPr>
        <w:t>全市交通工程、水利工程等工程建设项目可参照执行。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12" w:firstLineChars="200"/>
        <w:textAlignment w:val="auto"/>
        <w:rPr>
          <w:rFonts w:hint="eastAsia" w:ascii="宋体" w:hAnsi="宋体" w:eastAsia="黑体" w:cs="黑体"/>
          <w:b w:val="0"/>
          <w:bCs w:val="0"/>
          <w:i w:val="0"/>
          <w:iCs w:val="0"/>
          <w:caps w:val="0"/>
          <w:color w:val="000000"/>
          <w:spacing w:val="0"/>
          <w:sz w:val="31"/>
          <w:szCs w:val="31"/>
          <w:shd w:val="clear" w:color="auto" w:fill="FFFFFF"/>
        </w:rPr>
      </w:pPr>
      <w:r>
        <w:rPr>
          <w:rFonts w:hint="eastAsia" w:ascii="宋体" w:hAnsi="宋体" w:eastAsia="黑体" w:cs="黑体"/>
          <w:b w:val="0"/>
          <w:bCs w:val="0"/>
          <w:i w:val="0"/>
          <w:iCs w:val="0"/>
          <w:caps w:val="0"/>
          <w:color w:val="000000"/>
          <w:spacing w:val="0"/>
          <w:sz w:val="31"/>
          <w:szCs w:val="31"/>
          <w:shd w:val="clear" w:color="auto" w:fill="FFFFFF"/>
        </w:rPr>
        <w:t>四、基本程序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仿宋_GB2312" w:cs="仿宋_GB2312"/>
          <w:i w:val="0"/>
          <w:iCs w:val="0"/>
          <w:caps w:val="0"/>
          <w:color w:val="000000"/>
          <w:spacing w:val="0"/>
          <w:sz w:val="31"/>
          <w:szCs w:val="31"/>
          <w:shd w:val="clear" w:color="auto" w:fill="FFFFFF"/>
          <w:lang w:val="en-US" w:eastAsia="zh-CN"/>
        </w:rPr>
        <w:t>采用“评定分离”方式招标的工程项目，招标人应在招标公告和招标文件醒目位置明确告知投标人。评标委员会根据招标文件规定的评标方法和标准对投标文件进行评审，之后向招标人推荐规定数量不排序的定标候选人，再由招标人组建的定标委员会根据评标报告和评标委员会推荐的定标候选人，按照招标文件规定的定标方案择优确定中标人。招标人在选择招标代理机构时，要充分考虑“评定分离”的定标费用，并在代理合同内约定取费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 w:cs="仿宋"/>
          <w:sz w:val="32"/>
          <w:szCs w:val="32"/>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黑体" w:cs="黑体"/>
          <w:b w:val="0"/>
          <w:bCs w:val="0"/>
          <w:i w:val="0"/>
          <w:iCs w:val="0"/>
          <w:caps w:val="0"/>
          <w:color w:val="000000"/>
          <w:spacing w:val="0"/>
          <w:sz w:val="32"/>
          <w:szCs w:val="32"/>
          <w:shd w:val="clear" w:color="auto" w:fill="FFFFFF"/>
        </w:rPr>
        <w:t>　</w:t>
      </w:r>
      <w:r>
        <w:rPr>
          <w:rFonts w:hint="eastAsia" w:ascii="宋体" w:hAnsi="宋体" w:eastAsia="黑体" w:cs="黑体"/>
          <w:b w:val="0"/>
          <w:bCs w:val="0"/>
          <w:i w:val="0"/>
          <w:iCs w:val="0"/>
          <w:caps w:val="0"/>
          <w:color w:val="000000"/>
          <w:spacing w:val="0"/>
          <w:sz w:val="31"/>
          <w:szCs w:val="31"/>
          <w:shd w:val="clear" w:color="auto" w:fill="FFFFFF"/>
        </w:rPr>
        <w:t>五、定标办法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 w:cs="仿宋"/>
          <w:i w:val="0"/>
          <w:iCs w:val="0"/>
          <w:caps w:val="0"/>
          <w:color w:val="000000"/>
          <w:spacing w:val="0"/>
          <w:sz w:val="32"/>
          <w:szCs w:val="32"/>
          <w:shd w:val="clear" w:color="auto" w:fill="FFFFFF"/>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仿宋_GB2312" w:cs="仿宋_GB2312"/>
          <w:i w:val="0"/>
          <w:iCs w:val="0"/>
          <w:caps w:val="0"/>
          <w:color w:val="000000"/>
          <w:spacing w:val="0"/>
          <w:sz w:val="31"/>
          <w:szCs w:val="31"/>
          <w:shd w:val="clear" w:color="auto" w:fill="FFFFFF"/>
          <w:lang w:val="en-US" w:eastAsia="zh-CN"/>
        </w:rPr>
        <w:t>招标人可以根据项目特点和实际需要确定若干定标因素，并在招标文件中明确定标因素及其相关评审细则，但不得在定标环节排斥民营企业投标人。定标应采取一轮或多轮评审，通过“评分法”或“记名投票+撰写评语法”的方式确定中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 w:cs="仿宋"/>
          <w:sz w:val="32"/>
          <w:szCs w:val="32"/>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楷体_GB2312" w:cs="楷体_GB2312"/>
          <w:i w:val="0"/>
          <w:iCs w:val="0"/>
          <w:caps w:val="0"/>
          <w:color w:val="000000"/>
          <w:spacing w:val="0"/>
          <w:sz w:val="31"/>
          <w:szCs w:val="31"/>
          <w:shd w:val="clear" w:color="auto" w:fill="FFFFFF"/>
        </w:rPr>
        <w:t>　（一）评分法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仿宋_GB2312" w:cs="仿宋_GB2312"/>
          <w:i w:val="0"/>
          <w:iCs w:val="0"/>
          <w:caps w:val="0"/>
          <w:color w:val="000000"/>
          <w:spacing w:val="0"/>
          <w:sz w:val="31"/>
          <w:szCs w:val="31"/>
          <w:shd w:val="clear" w:color="auto" w:fill="FFFFFF"/>
          <w:lang w:val="en-US" w:eastAsia="zh-CN"/>
        </w:rPr>
        <w:t>评分法是由定标委员会根据已确定的若干定标因素，由定标委员会成员独立对每个因素进行评分，分别计算各个因素平均得分和所有因素平均分的总得分，总得分最高的确定为中标人。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楷体_GB2312" w:cs="楷体_GB2312"/>
          <w:i w:val="0"/>
          <w:iCs w:val="0"/>
          <w:caps w:val="0"/>
          <w:color w:val="000000"/>
          <w:spacing w:val="0"/>
          <w:sz w:val="31"/>
          <w:szCs w:val="31"/>
          <w:shd w:val="clear" w:color="auto" w:fill="FFFFFF"/>
        </w:rPr>
      </w:pPr>
      <w:r>
        <w:rPr>
          <w:rFonts w:hint="eastAsia" w:ascii="宋体" w:hAnsi="宋体" w:eastAsia="楷体_GB2312" w:cs="楷体_GB2312"/>
          <w:i w:val="0"/>
          <w:iCs w:val="0"/>
          <w:caps w:val="0"/>
          <w:color w:val="000000"/>
          <w:spacing w:val="0"/>
          <w:sz w:val="31"/>
          <w:szCs w:val="31"/>
          <w:shd w:val="clear" w:color="auto" w:fill="FFFFFF"/>
        </w:rPr>
        <w:t>　　（二）记名投票+撰写评语法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仿宋_GB2312" w:cs="仿宋_GB2312"/>
          <w:i w:val="0"/>
          <w:iCs w:val="0"/>
          <w:caps w:val="0"/>
          <w:color w:val="000000"/>
          <w:spacing w:val="0"/>
          <w:sz w:val="31"/>
          <w:szCs w:val="31"/>
          <w:shd w:val="clear" w:color="auto" w:fill="FFFFFF"/>
          <w:lang w:val="en-US" w:eastAsia="zh-CN"/>
        </w:rPr>
        <w:t>记名投票+撰写评语法是由定标委员会根据项目特点和已确定的定标因素，由定标委员会成员分别对定标候选人进行评价撰写评语，并进行实名投票，得票数最多的确定为中标人。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 w:cs="仿宋"/>
          <w:sz w:val="32"/>
          <w:szCs w:val="32"/>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黑体" w:cs="黑体"/>
          <w:b w:val="0"/>
          <w:bCs w:val="0"/>
          <w:i w:val="0"/>
          <w:iCs w:val="0"/>
          <w:caps w:val="0"/>
          <w:color w:val="000000"/>
          <w:spacing w:val="0"/>
          <w:sz w:val="32"/>
          <w:szCs w:val="32"/>
          <w:shd w:val="clear" w:color="auto" w:fill="FFFFFF"/>
        </w:rPr>
        <w:t>　</w:t>
      </w:r>
      <w:r>
        <w:rPr>
          <w:rFonts w:hint="eastAsia" w:ascii="宋体" w:hAnsi="宋体" w:eastAsia="黑体" w:cs="黑体"/>
          <w:b w:val="0"/>
          <w:bCs w:val="0"/>
          <w:i w:val="0"/>
          <w:iCs w:val="0"/>
          <w:caps w:val="0"/>
          <w:color w:val="000000"/>
          <w:spacing w:val="0"/>
          <w:sz w:val="31"/>
          <w:szCs w:val="31"/>
          <w:shd w:val="clear" w:color="auto" w:fill="FFFFFF"/>
        </w:rPr>
        <w:t>六、定标候选人推荐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 w:cs="仿宋"/>
          <w:i w:val="0"/>
          <w:iCs w:val="0"/>
          <w:caps w:val="0"/>
          <w:color w:val="000000"/>
          <w:spacing w:val="0"/>
          <w:sz w:val="32"/>
          <w:szCs w:val="32"/>
          <w:shd w:val="clear" w:color="auto" w:fill="FFFFFF"/>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仿宋_GB2312" w:cs="仿宋_GB2312"/>
          <w:i w:val="0"/>
          <w:iCs w:val="0"/>
          <w:caps w:val="0"/>
          <w:color w:val="000000"/>
          <w:spacing w:val="0"/>
          <w:sz w:val="31"/>
          <w:szCs w:val="31"/>
          <w:shd w:val="clear" w:color="auto" w:fill="FFFFFF"/>
          <w:lang w:val="en-US" w:eastAsia="zh-CN"/>
        </w:rPr>
        <w:t>采用“评定分离”方式进行招标的，招标人应在定标方案中明确定标候选人人数，评标委员会应根据定标方案确定的定标候选人人数向招标人推荐定标候选人，定标候选人可按其统一社会信用代码后4位</w:t>
      </w:r>
      <w:r>
        <w:rPr>
          <w:rFonts w:hint="eastAsia" w:cs="仿宋_GB2312"/>
          <w:i w:val="0"/>
          <w:iCs w:val="0"/>
          <w:caps w:val="0"/>
          <w:color w:val="000000"/>
          <w:spacing w:val="0"/>
          <w:sz w:val="31"/>
          <w:szCs w:val="31"/>
          <w:shd w:val="clear" w:color="auto" w:fill="FFFFFF"/>
          <w:lang w:val="en-US" w:eastAsia="zh-CN"/>
        </w:rPr>
        <w:t>（</w:t>
      </w:r>
      <w:r>
        <w:rPr>
          <w:rFonts w:hint="eastAsia" w:ascii="宋体" w:hAnsi="宋体" w:eastAsia="仿宋_GB2312" w:cs="仿宋_GB2312"/>
          <w:i w:val="0"/>
          <w:iCs w:val="0"/>
          <w:caps w:val="0"/>
          <w:color w:val="000000"/>
          <w:spacing w:val="0"/>
          <w:sz w:val="31"/>
          <w:szCs w:val="31"/>
          <w:shd w:val="clear" w:color="auto" w:fill="FFFFFF"/>
          <w:lang w:val="en-US" w:eastAsia="zh-CN"/>
        </w:rPr>
        <w:t>除校验码外</w:t>
      </w:r>
      <w:r>
        <w:rPr>
          <w:rFonts w:hint="eastAsia" w:cs="仿宋_GB2312"/>
          <w:i w:val="0"/>
          <w:iCs w:val="0"/>
          <w:caps w:val="0"/>
          <w:color w:val="000000"/>
          <w:spacing w:val="0"/>
          <w:sz w:val="31"/>
          <w:szCs w:val="31"/>
          <w:shd w:val="clear" w:color="auto" w:fill="FFFFFF"/>
          <w:lang w:val="en-US" w:eastAsia="zh-CN"/>
        </w:rPr>
        <w:t>）</w:t>
      </w:r>
      <w:r>
        <w:rPr>
          <w:rFonts w:hint="eastAsia" w:ascii="宋体" w:hAnsi="宋体" w:eastAsia="仿宋_GB2312" w:cs="仿宋_GB2312"/>
          <w:i w:val="0"/>
          <w:iCs w:val="0"/>
          <w:caps w:val="0"/>
          <w:color w:val="000000"/>
          <w:spacing w:val="0"/>
          <w:sz w:val="31"/>
          <w:szCs w:val="31"/>
          <w:shd w:val="clear" w:color="auto" w:fill="FFFFFF"/>
          <w:lang w:val="en-US" w:eastAsia="zh-CN"/>
        </w:rPr>
        <w:t>大小排位、不排序，定标候选人不得少于3名、不宜多于10名</w:t>
      </w:r>
      <w:r>
        <w:rPr>
          <w:rFonts w:hint="eastAsia" w:cs="仿宋_GB2312"/>
          <w:i w:val="0"/>
          <w:iCs w:val="0"/>
          <w:caps w:val="0"/>
          <w:color w:val="000000"/>
          <w:spacing w:val="0"/>
          <w:sz w:val="31"/>
          <w:szCs w:val="31"/>
          <w:shd w:val="clear" w:color="auto" w:fill="FFFFFF"/>
          <w:lang w:val="en-US" w:eastAsia="zh-CN"/>
        </w:rPr>
        <w:t>（</w:t>
      </w:r>
      <w:r>
        <w:rPr>
          <w:rFonts w:hint="eastAsia" w:ascii="宋体" w:hAnsi="宋体" w:eastAsia="仿宋_GB2312" w:cs="仿宋_GB2312"/>
          <w:i w:val="0"/>
          <w:iCs w:val="0"/>
          <w:caps w:val="0"/>
          <w:color w:val="000000"/>
          <w:spacing w:val="0"/>
          <w:sz w:val="31"/>
          <w:szCs w:val="31"/>
          <w:shd w:val="clear" w:color="auto" w:fill="FFFFFF"/>
          <w:lang w:val="en-US" w:eastAsia="zh-CN"/>
        </w:rPr>
        <w:t>若任一名次出现多家并列的，视为同一名</w:t>
      </w:r>
      <w:r>
        <w:rPr>
          <w:rFonts w:hint="eastAsia" w:cs="仿宋_GB2312"/>
          <w:i w:val="0"/>
          <w:iCs w:val="0"/>
          <w:caps w:val="0"/>
          <w:color w:val="000000"/>
          <w:spacing w:val="0"/>
          <w:sz w:val="31"/>
          <w:szCs w:val="31"/>
          <w:shd w:val="clear" w:color="auto" w:fill="FFFFFF"/>
          <w:lang w:val="en-US" w:eastAsia="zh-CN"/>
        </w:rPr>
        <w:t>）</w:t>
      </w:r>
      <w:r>
        <w:rPr>
          <w:rFonts w:hint="eastAsia" w:ascii="宋体" w:hAnsi="宋体" w:eastAsia="仿宋_GB2312" w:cs="仿宋_GB2312"/>
          <w:i w:val="0"/>
          <w:iCs w:val="0"/>
          <w:caps w:val="0"/>
          <w:color w:val="000000"/>
          <w:spacing w:val="0"/>
          <w:sz w:val="31"/>
          <w:szCs w:val="31"/>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 w:cs="仿宋"/>
          <w:sz w:val="32"/>
          <w:szCs w:val="32"/>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黑体" w:cs="黑体"/>
          <w:b w:val="0"/>
          <w:bCs w:val="0"/>
          <w:i w:val="0"/>
          <w:iCs w:val="0"/>
          <w:caps w:val="0"/>
          <w:color w:val="000000"/>
          <w:spacing w:val="0"/>
          <w:sz w:val="32"/>
          <w:szCs w:val="32"/>
          <w:shd w:val="clear" w:color="auto" w:fill="FFFFFF"/>
        </w:rPr>
        <w:t>　</w:t>
      </w:r>
      <w:r>
        <w:rPr>
          <w:rFonts w:hint="eastAsia" w:ascii="宋体" w:hAnsi="宋体" w:eastAsia="黑体" w:cs="黑体"/>
          <w:b w:val="0"/>
          <w:bCs w:val="0"/>
          <w:i w:val="0"/>
          <w:iCs w:val="0"/>
          <w:caps w:val="0"/>
          <w:color w:val="000000"/>
          <w:spacing w:val="0"/>
          <w:sz w:val="31"/>
          <w:szCs w:val="31"/>
          <w:shd w:val="clear" w:color="auto" w:fill="FFFFFF"/>
        </w:rPr>
        <w:t>七、定标工作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31"/>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_GB2312" w:cs="仿宋_GB2312"/>
          <w:i w:val="0"/>
          <w:iCs w:val="0"/>
          <w:caps w:val="0"/>
          <w:color w:val="000000"/>
          <w:spacing w:val="0"/>
          <w:sz w:val="31"/>
          <w:szCs w:val="31"/>
          <w:shd w:val="clear" w:color="auto" w:fill="FFFFFF"/>
          <w:lang w:val="en-US" w:eastAsia="zh-CN"/>
        </w:rPr>
        <w:t>招标人应当自收到评标报告之日起3日内</w:t>
      </w:r>
      <w:r>
        <w:rPr>
          <w:rFonts w:hint="eastAsia" w:cs="仿宋_GB2312"/>
          <w:i w:val="0"/>
          <w:iCs w:val="0"/>
          <w:caps w:val="0"/>
          <w:color w:val="000000"/>
          <w:spacing w:val="0"/>
          <w:sz w:val="31"/>
          <w:szCs w:val="31"/>
          <w:shd w:val="clear" w:color="auto" w:fill="FFFFFF"/>
          <w:lang w:val="en-US" w:eastAsia="zh-CN"/>
        </w:rPr>
        <w:t>（</w:t>
      </w:r>
      <w:r>
        <w:rPr>
          <w:rFonts w:hint="eastAsia" w:ascii="宋体" w:hAnsi="宋体" w:eastAsia="仿宋_GB2312" w:cs="仿宋_GB2312"/>
          <w:i w:val="0"/>
          <w:iCs w:val="0"/>
          <w:caps w:val="0"/>
          <w:color w:val="000000"/>
          <w:spacing w:val="0"/>
          <w:sz w:val="31"/>
          <w:szCs w:val="31"/>
          <w:shd w:val="clear" w:color="auto" w:fill="FFFFFF"/>
          <w:lang w:val="en-US" w:eastAsia="zh-CN"/>
        </w:rPr>
        <w:t>最后一日为法定节假日或公休日的，顺延至节假日或公休日后的第一日，下同</w:t>
      </w:r>
      <w:r>
        <w:rPr>
          <w:rFonts w:hint="eastAsia" w:cs="仿宋_GB2312"/>
          <w:i w:val="0"/>
          <w:iCs w:val="0"/>
          <w:caps w:val="0"/>
          <w:color w:val="000000"/>
          <w:spacing w:val="0"/>
          <w:sz w:val="31"/>
          <w:szCs w:val="31"/>
          <w:shd w:val="clear" w:color="auto" w:fill="FFFFFF"/>
          <w:lang w:val="en-US" w:eastAsia="zh-CN"/>
        </w:rPr>
        <w:t>）</w:t>
      </w:r>
      <w:r>
        <w:rPr>
          <w:rFonts w:hint="eastAsia" w:ascii="宋体" w:hAnsi="宋体" w:eastAsia="仿宋_GB2312" w:cs="仿宋_GB2312"/>
          <w:i w:val="0"/>
          <w:iCs w:val="0"/>
          <w:caps w:val="0"/>
          <w:color w:val="000000"/>
          <w:spacing w:val="0"/>
          <w:sz w:val="31"/>
          <w:szCs w:val="31"/>
          <w:shd w:val="clear" w:color="auto" w:fill="FFFFFF"/>
          <w:lang w:val="en-US" w:eastAsia="zh-CN"/>
        </w:rPr>
        <w:t>完成定标工作并进行中标候选人公示。除法律法规规定的公示内容外，公示内容还应包括：定标候选人名单、定标时间等内容。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31"/>
        <w:textAlignment w:val="auto"/>
        <w:rPr>
          <w:rFonts w:hint="eastAsia" w:ascii="宋体" w:hAnsi="宋体" w:eastAsia="仿宋" w:cs="仿宋"/>
          <w:i w:val="0"/>
          <w:iCs w:val="0"/>
          <w:caps w:val="0"/>
          <w:color w:val="000000"/>
          <w:spacing w:val="0"/>
          <w:sz w:val="32"/>
          <w:szCs w:val="32"/>
          <w:shd w:val="clear" w:color="auto" w:fill="FFFFFF"/>
        </w:rPr>
      </w:pPr>
      <w:r>
        <w:rPr>
          <w:rFonts w:hint="eastAsia" w:ascii="宋体" w:hAnsi="宋体" w:eastAsia="仿宋_GB2312" w:cs="仿宋_GB2312"/>
          <w:i w:val="0"/>
          <w:iCs w:val="0"/>
          <w:caps w:val="0"/>
          <w:color w:val="000000"/>
          <w:spacing w:val="0"/>
          <w:sz w:val="31"/>
          <w:szCs w:val="31"/>
          <w:shd w:val="clear" w:color="auto" w:fill="FFFFFF"/>
          <w:lang w:val="en-US" w:eastAsia="zh-CN"/>
        </w:rPr>
        <w:t>定标后有下列情形之一的，招标人可以重新招标；或按照招标文件约定重新确定中标候选人：1.中标人放弃中标或者拒不签订合同的；2.中标人不按照招标文件要求提交履约担保的；3.因不可抗力不能履行合同的；4.中标候选人被查实存在弄虚作假投标等影响中标结果的违法情形，不符合中标条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31"/>
        <w:textAlignment w:val="auto"/>
        <w:rPr>
          <w:rFonts w:hint="eastAsia" w:ascii="宋体" w:hAnsi="宋体" w:eastAsia="仿宋" w:cs="仿宋"/>
          <w:sz w:val="32"/>
          <w:szCs w:val="32"/>
        </w:rPr>
      </w:pPr>
      <w:r>
        <w:rPr>
          <w:rFonts w:hint="eastAsia" w:ascii="宋体" w:hAnsi="宋体" w:eastAsia="仿宋_GB2312" w:cs="仿宋_GB2312"/>
          <w:i w:val="0"/>
          <w:iCs w:val="0"/>
          <w:caps w:val="0"/>
          <w:color w:val="000000"/>
          <w:spacing w:val="0"/>
          <w:sz w:val="31"/>
          <w:szCs w:val="31"/>
          <w:shd w:val="clear" w:color="auto" w:fill="FFFFFF"/>
          <w:lang w:val="en-US" w:eastAsia="zh-CN"/>
        </w:rPr>
        <w:t>不能按时定标的，应当通过公共资源交易网发布延期原因和新的定标时间。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楷体_GB2312" w:cs="楷体_GB2312"/>
          <w:i w:val="0"/>
          <w:iCs w:val="0"/>
          <w:caps w:val="0"/>
          <w:color w:val="000000"/>
          <w:spacing w:val="0"/>
          <w:sz w:val="31"/>
          <w:szCs w:val="31"/>
          <w:shd w:val="clear" w:color="auto" w:fill="FFFFFF"/>
        </w:rPr>
      </w:pPr>
      <w:r>
        <w:rPr>
          <w:rFonts w:hint="eastAsia" w:ascii="宋体" w:hAnsi="宋体" w:eastAsia="楷体_GB2312" w:cs="楷体_GB2312"/>
          <w:i w:val="0"/>
          <w:iCs w:val="0"/>
          <w:caps w:val="0"/>
          <w:color w:val="000000"/>
          <w:spacing w:val="0"/>
          <w:sz w:val="31"/>
          <w:szCs w:val="31"/>
          <w:shd w:val="clear" w:color="auto" w:fill="FFFFFF"/>
        </w:rPr>
        <w:t>　　（一）定标方案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仿宋_GB2312" w:cs="仿宋_GB2312"/>
          <w:i w:val="0"/>
          <w:iCs w:val="0"/>
          <w:caps w:val="0"/>
          <w:color w:val="000000"/>
          <w:spacing w:val="0"/>
          <w:sz w:val="31"/>
          <w:szCs w:val="31"/>
          <w:shd w:val="clear" w:color="auto" w:fill="FFFFFF"/>
          <w:lang w:val="en-US" w:eastAsia="zh-CN"/>
        </w:rPr>
        <w:t>招标人应在招标公告中明确说明采用“评定分离”方式进行招标。招标人结合项目特征合理制定定标方案，定标方案应包括定标委员会组建、定标前期准备工作、定标办法、定标候选人人数等，其中定标候选人人数、定标办法(包含定标因素评审标准、分值)必须作为招标文件组成部分公开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_GB2312" w:cs="仿宋_GB2312"/>
          <w:i w:val="0"/>
          <w:iCs w:val="0"/>
          <w:caps w:val="0"/>
          <w:color w:val="000000"/>
          <w:spacing w:val="0"/>
          <w:sz w:val="31"/>
          <w:szCs w:val="31"/>
          <w:shd w:val="clear" w:color="auto" w:fill="FFFFFF"/>
          <w:lang w:val="en-US" w:eastAsia="zh-CN"/>
        </w:rPr>
        <w:t>　　定标方案属于“评定分离”方式的核心文件，相关单位应当实行保密工作责任制。定标方案中的“定标办法”、定标候选人人数应在招标文件发布前保密，定标方案中的“定标前期准备工作”、“定标委员会组建”应在定标前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楷体_GB2312" w:cs="楷体_GB2312"/>
          <w:i w:val="0"/>
          <w:iCs w:val="0"/>
          <w:caps w:val="0"/>
          <w:color w:val="000000"/>
          <w:spacing w:val="0"/>
          <w:sz w:val="31"/>
          <w:szCs w:val="31"/>
          <w:shd w:val="clear" w:color="auto" w:fill="FFFFFF"/>
        </w:rPr>
      </w:pPr>
      <w:r>
        <w:rPr>
          <w:rFonts w:hint="eastAsia" w:ascii="宋体" w:hAnsi="宋体" w:eastAsia="楷体_GB2312" w:cs="楷体_GB2312"/>
          <w:i w:val="0"/>
          <w:iCs w:val="0"/>
          <w:caps w:val="0"/>
          <w:color w:val="000000"/>
          <w:spacing w:val="0"/>
          <w:sz w:val="31"/>
          <w:szCs w:val="31"/>
          <w:shd w:val="clear" w:color="auto" w:fill="FFFFFF"/>
        </w:rPr>
        <w:t>　　（二）定标委员会组建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12" w:firstLineChars="20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_GB2312" w:cs="仿宋_GB2312"/>
          <w:i w:val="0"/>
          <w:iCs w:val="0"/>
          <w:caps w:val="0"/>
          <w:color w:val="000000"/>
          <w:spacing w:val="0"/>
          <w:sz w:val="31"/>
          <w:szCs w:val="31"/>
          <w:shd w:val="clear" w:color="auto" w:fill="FFFFFF"/>
          <w:lang w:val="en-US" w:eastAsia="zh-CN"/>
        </w:rPr>
        <w:t>定标委员会由招标人负责组建，其成员原则上从招标人（代建单位）的领导班子成员、经营管理人员、具有工程建设类（建筑工程、市政工程）中级及以上技术职称或注册执业资格的人员中产生，成员数量为5人及以上单数，最多不超过11人；招标人根据自身情况可以邀请福建省评标专家库中符合《公共资源交易评标专家专业分类标准</w:t>
      </w:r>
      <w:r>
        <w:rPr>
          <w:rFonts w:hint="eastAsia" w:cs="仿宋_GB2312"/>
          <w:i w:val="0"/>
          <w:iCs w:val="0"/>
          <w:caps w:val="0"/>
          <w:color w:val="000000"/>
          <w:spacing w:val="0"/>
          <w:sz w:val="31"/>
          <w:szCs w:val="31"/>
          <w:shd w:val="clear" w:color="auto" w:fill="FFFFFF"/>
          <w:lang w:val="en-US" w:eastAsia="zh-CN"/>
        </w:rPr>
        <w:t>（</w:t>
      </w:r>
      <w:r>
        <w:rPr>
          <w:rFonts w:hint="eastAsia" w:ascii="宋体" w:hAnsi="宋体" w:eastAsia="仿宋_GB2312" w:cs="仿宋_GB2312"/>
          <w:i w:val="0"/>
          <w:iCs w:val="0"/>
          <w:caps w:val="0"/>
          <w:color w:val="000000"/>
          <w:spacing w:val="0"/>
          <w:sz w:val="31"/>
          <w:szCs w:val="31"/>
          <w:shd w:val="clear" w:color="auto" w:fill="FFFFFF"/>
          <w:lang w:val="en-US" w:eastAsia="zh-CN"/>
        </w:rPr>
        <w:t>2018版</w:t>
      </w:r>
      <w:r>
        <w:rPr>
          <w:rFonts w:hint="eastAsia" w:cs="仿宋_GB2312"/>
          <w:i w:val="0"/>
          <w:iCs w:val="0"/>
          <w:caps w:val="0"/>
          <w:color w:val="000000"/>
          <w:spacing w:val="0"/>
          <w:sz w:val="31"/>
          <w:szCs w:val="31"/>
          <w:shd w:val="clear" w:color="auto" w:fill="FFFFFF"/>
          <w:lang w:val="en-US" w:eastAsia="zh-CN"/>
        </w:rPr>
        <w:t>）</w:t>
      </w:r>
      <w:r>
        <w:rPr>
          <w:rFonts w:hint="eastAsia" w:ascii="宋体" w:hAnsi="宋体" w:eastAsia="仿宋_GB2312" w:cs="仿宋_GB2312"/>
          <w:i w:val="0"/>
          <w:iCs w:val="0"/>
          <w:caps w:val="0"/>
          <w:color w:val="000000"/>
          <w:spacing w:val="0"/>
          <w:sz w:val="31"/>
          <w:szCs w:val="31"/>
          <w:shd w:val="clear" w:color="auto" w:fill="FFFFFF"/>
          <w:lang w:val="en-US" w:eastAsia="zh-CN"/>
        </w:rPr>
        <w:t>》中相关专业类别的专业技术人员参与定标，专家人数不超过定标委员会成员总数的</w:t>
      </w:r>
      <w:r>
        <w:rPr>
          <w:rFonts w:hint="eastAsia" w:cs="仿宋_GB2312"/>
          <w:i w:val="0"/>
          <w:iCs w:val="0"/>
          <w:caps w:val="0"/>
          <w:color w:val="000000"/>
          <w:spacing w:val="0"/>
          <w:sz w:val="31"/>
          <w:szCs w:val="31"/>
          <w:shd w:val="clear" w:color="auto" w:fill="FFFFFF"/>
          <w:lang w:val="en-US" w:eastAsia="zh-CN"/>
        </w:rPr>
        <w:t>1/2</w:t>
      </w:r>
      <w:r>
        <w:rPr>
          <w:rFonts w:hint="eastAsia" w:ascii="宋体" w:hAnsi="宋体" w:eastAsia="仿宋_GB2312" w:cs="仿宋_GB2312"/>
          <w:i w:val="0"/>
          <w:iCs w:val="0"/>
          <w:caps w:val="0"/>
          <w:color w:val="000000"/>
          <w:spacing w:val="0"/>
          <w:sz w:val="31"/>
          <w:szCs w:val="31"/>
          <w:shd w:val="clear" w:color="auto" w:fill="FFFFFF"/>
          <w:lang w:val="en-US" w:eastAsia="zh-CN"/>
        </w:rPr>
        <w:t>，招标人应对邀请的专业技术人员定标行为、定标结果承担责任。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仿宋_GB2312" w:cs="仿宋_GB2312"/>
          <w:i w:val="0"/>
          <w:iCs w:val="0"/>
          <w:caps w:val="0"/>
          <w:color w:val="000000"/>
          <w:spacing w:val="0"/>
          <w:sz w:val="31"/>
          <w:szCs w:val="31"/>
          <w:shd w:val="clear" w:color="auto" w:fill="FFFFFF"/>
          <w:lang w:val="en-US" w:eastAsia="zh-CN"/>
        </w:rPr>
        <w:t>定标委员会成员与定标候选人有利害关系的，应当回避，且不得与任何定标候选人或者与招标结果有利害关系的人进行私下接触。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仿宋_GB2312" w:cs="仿宋_GB2312"/>
          <w:i w:val="0"/>
          <w:iCs w:val="0"/>
          <w:caps w:val="0"/>
          <w:color w:val="000000"/>
          <w:spacing w:val="0"/>
          <w:sz w:val="31"/>
          <w:szCs w:val="31"/>
          <w:shd w:val="clear" w:color="auto" w:fill="FFFFFF"/>
          <w:lang w:val="en-US" w:eastAsia="zh-CN"/>
        </w:rPr>
        <w:t>招标人可以委托代建单位的法定代表人组建定标委员会，代建单位应将组建方案报招标人批准同意。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楷体_GB2312" w:cs="楷体_GB2312"/>
          <w:i w:val="0"/>
          <w:iCs w:val="0"/>
          <w:caps w:val="0"/>
          <w:color w:val="000000"/>
          <w:spacing w:val="0"/>
          <w:sz w:val="31"/>
          <w:szCs w:val="31"/>
          <w:shd w:val="clear" w:color="auto" w:fill="FFFFFF"/>
        </w:rPr>
      </w:pPr>
      <w:r>
        <w:rPr>
          <w:rFonts w:hint="eastAsia" w:ascii="宋体" w:hAnsi="宋体" w:eastAsia="楷体_GB2312" w:cs="楷体_GB2312"/>
          <w:i w:val="0"/>
          <w:iCs w:val="0"/>
          <w:caps w:val="0"/>
          <w:color w:val="000000"/>
          <w:spacing w:val="0"/>
          <w:sz w:val="31"/>
          <w:szCs w:val="31"/>
          <w:shd w:val="clear" w:color="auto" w:fill="FFFFFF"/>
        </w:rPr>
        <w:t>　　（三）定标前期准备工作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仿宋_GB2312" w:cs="仿宋_GB2312"/>
          <w:i w:val="0"/>
          <w:iCs w:val="0"/>
          <w:caps w:val="0"/>
          <w:color w:val="000000"/>
          <w:spacing w:val="0"/>
          <w:sz w:val="31"/>
          <w:szCs w:val="31"/>
          <w:shd w:val="clear" w:color="auto" w:fill="FFFFFF"/>
          <w:lang w:val="en-US" w:eastAsia="zh-CN"/>
        </w:rPr>
        <w:t>招标人可自行组织或委托有相应能力的机构或人员组成工作小组，负责定标前对评标结果进行复核。有条件的招标人，也可委派工作小组对定标候选人进行考察。工作小组出具的复核、考察报告作为定标委员会在定标时的参考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12" w:firstLineChars="200"/>
        <w:textAlignment w:val="auto"/>
        <w:rPr>
          <w:rFonts w:hint="eastAsia" w:ascii="宋体" w:hAnsi="宋体" w:eastAsia="楷体_GB2312" w:cs="楷体_GB2312"/>
          <w:i w:val="0"/>
          <w:iCs w:val="0"/>
          <w:caps w:val="0"/>
          <w:color w:val="000000"/>
          <w:spacing w:val="0"/>
          <w:sz w:val="31"/>
          <w:szCs w:val="31"/>
          <w:shd w:val="clear" w:color="auto" w:fill="FFFFFF"/>
        </w:rPr>
      </w:pPr>
      <w:r>
        <w:rPr>
          <w:rFonts w:hint="eastAsia" w:ascii="宋体" w:hAnsi="宋体" w:eastAsia="楷体_GB2312" w:cs="楷体_GB2312"/>
          <w:i w:val="0"/>
          <w:iCs w:val="0"/>
          <w:caps w:val="0"/>
          <w:color w:val="000000"/>
          <w:spacing w:val="0"/>
          <w:sz w:val="31"/>
          <w:szCs w:val="31"/>
          <w:shd w:val="clear" w:color="auto" w:fill="FFFFFF"/>
          <w:lang w:eastAsia="zh-CN"/>
        </w:rPr>
        <w:t>（</w:t>
      </w:r>
      <w:r>
        <w:rPr>
          <w:rFonts w:hint="eastAsia" w:ascii="宋体" w:hAnsi="宋体" w:eastAsia="楷体_GB2312" w:cs="楷体_GB2312"/>
          <w:i w:val="0"/>
          <w:iCs w:val="0"/>
          <w:caps w:val="0"/>
          <w:color w:val="000000"/>
          <w:spacing w:val="0"/>
          <w:sz w:val="31"/>
          <w:szCs w:val="31"/>
          <w:shd w:val="clear" w:color="auto" w:fill="FFFFFF"/>
          <w:lang w:val="en-US" w:eastAsia="zh-CN"/>
        </w:rPr>
        <w:t>四）</w:t>
      </w:r>
      <w:r>
        <w:rPr>
          <w:rFonts w:hint="eastAsia" w:ascii="宋体" w:hAnsi="宋体" w:eastAsia="楷体_GB2312" w:cs="楷体_GB2312"/>
          <w:i w:val="0"/>
          <w:iCs w:val="0"/>
          <w:caps w:val="0"/>
          <w:color w:val="000000"/>
          <w:spacing w:val="0"/>
          <w:sz w:val="31"/>
          <w:szCs w:val="31"/>
          <w:shd w:val="clear" w:color="auto" w:fill="FFFFFF"/>
        </w:rPr>
        <w:t>定标办法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12" w:firstLineChars="200"/>
        <w:textAlignment w:val="auto"/>
        <w:rPr>
          <w:rFonts w:hint="eastAsia" w:ascii="宋体" w:hAnsi="宋体" w:eastAsia="仿宋" w:cs="仿宋"/>
          <w:i w:val="0"/>
          <w:iCs w:val="0"/>
          <w:caps w:val="0"/>
          <w:color w:val="000000"/>
          <w:spacing w:val="0"/>
          <w:sz w:val="32"/>
          <w:szCs w:val="32"/>
          <w:shd w:val="clear" w:color="auto" w:fill="FFFFFF"/>
        </w:rPr>
      </w:pPr>
      <w:r>
        <w:rPr>
          <w:rFonts w:hint="eastAsia" w:ascii="宋体" w:hAnsi="宋体" w:eastAsia="仿宋_GB2312" w:cs="仿宋_GB2312"/>
          <w:i w:val="0"/>
          <w:iCs w:val="0"/>
          <w:caps w:val="0"/>
          <w:color w:val="000000"/>
          <w:spacing w:val="0"/>
          <w:sz w:val="31"/>
          <w:szCs w:val="31"/>
          <w:shd w:val="clear" w:color="auto" w:fill="FFFFFF"/>
          <w:lang w:val="en-US" w:eastAsia="zh-CN"/>
        </w:rPr>
        <w:t>定标时应当严格按照公布的定标办法选择中标人。鼓励招标人依法创新定标办法，但定标办法、定标因素不得设置所有制性质、企业注册地、经营主体的规模、注册资金、市场占有率、负债率、净资产规模等等不合理条件限制、排斥潜在投标人。招标人可根据定标办法制作定标时所需表格或相关文本</w:t>
      </w:r>
      <w:r>
        <w:rPr>
          <w:rFonts w:hint="eastAsia" w:cs="仿宋_GB2312"/>
          <w:i w:val="0"/>
          <w:iCs w:val="0"/>
          <w:caps w:val="0"/>
          <w:color w:val="000000"/>
          <w:spacing w:val="0"/>
          <w:sz w:val="31"/>
          <w:szCs w:val="31"/>
          <w:shd w:val="clear" w:color="auto" w:fill="FFFFFF"/>
          <w:lang w:val="en-US" w:eastAsia="zh-CN"/>
        </w:rPr>
        <w:t>（</w:t>
      </w:r>
      <w:r>
        <w:rPr>
          <w:rFonts w:hint="eastAsia" w:ascii="宋体" w:hAnsi="宋体" w:eastAsia="仿宋_GB2312" w:cs="仿宋_GB2312"/>
          <w:i w:val="0"/>
          <w:iCs w:val="0"/>
          <w:caps w:val="0"/>
          <w:color w:val="000000"/>
          <w:spacing w:val="0"/>
          <w:sz w:val="31"/>
          <w:szCs w:val="31"/>
          <w:shd w:val="clear" w:color="auto" w:fill="FFFFFF"/>
          <w:lang w:val="en-US" w:eastAsia="zh-CN"/>
        </w:rPr>
        <w:t>可参考附件1</w:t>
      </w:r>
      <w:r>
        <w:rPr>
          <w:rFonts w:hint="eastAsia" w:cs="仿宋_GB2312"/>
          <w:i w:val="0"/>
          <w:iCs w:val="0"/>
          <w:caps w:val="0"/>
          <w:color w:val="000000"/>
          <w:spacing w:val="0"/>
          <w:sz w:val="31"/>
          <w:szCs w:val="31"/>
          <w:shd w:val="clear" w:color="auto" w:fill="FFFFFF"/>
          <w:lang w:val="en-US" w:eastAsia="zh-CN"/>
        </w:rPr>
        <w:t>）</w:t>
      </w:r>
      <w:r>
        <w:rPr>
          <w:rFonts w:hint="eastAsia" w:ascii="宋体" w:hAnsi="宋体" w:eastAsia="仿宋_GB2312" w:cs="仿宋_GB2312"/>
          <w:i w:val="0"/>
          <w:iCs w:val="0"/>
          <w:caps w:val="0"/>
          <w:color w:val="000000"/>
          <w:spacing w:val="0"/>
          <w:sz w:val="31"/>
          <w:szCs w:val="31"/>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12" w:firstLineChars="20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Style w:val="6"/>
          <w:rFonts w:hint="eastAsia" w:ascii="宋体" w:hAnsi="宋体" w:eastAsia="仿宋_GB2312" w:cs="仿宋_GB2312"/>
          <w:i w:val="0"/>
          <w:iCs w:val="0"/>
          <w:caps w:val="0"/>
          <w:color w:val="000000"/>
          <w:spacing w:val="0"/>
          <w:sz w:val="31"/>
          <w:szCs w:val="31"/>
          <w:shd w:val="clear" w:color="auto" w:fill="FFFFFF"/>
        </w:rPr>
        <w:t>1.定标因素。</w:t>
      </w:r>
      <w:r>
        <w:rPr>
          <w:rFonts w:hint="eastAsia" w:ascii="宋体" w:hAnsi="宋体" w:eastAsia="仿宋_GB2312" w:cs="仿宋_GB2312"/>
          <w:i w:val="0"/>
          <w:iCs w:val="0"/>
          <w:caps w:val="0"/>
          <w:color w:val="000000"/>
          <w:spacing w:val="0"/>
          <w:sz w:val="31"/>
          <w:szCs w:val="31"/>
          <w:shd w:val="clear" w:color="auto" w:fill="FFFFFF"/>
          <w:lang w:val="en-US" w:eastAsia="zh-CN"/>
        </w:rPr>
        <w:t>招标人可以结合项目类型特点和项目建设需要以及项目规模、技术难度等，选择价格因素、方案因素、答辩因素、团队因素、性能因素、资信因素、服务因素、质量目标、安全文明施工目标等体现企业实力、企业信誉、拟派团队管理能力与水平作为定标因素</w:t>
      </w:r>
      <w:r>
        <w:rPr>
          <w:rFonts w:hint="eastAsia" w:cs="仿宋_GB2312"/>
          <w:i w:val="0"/>
          <w:iCs w:val="0"/>
          <w:caps w:val="0"/>
          <w:color w:val="000000"/>
          <w:spacing w:val="0"/>
          <w:sz w:val="31"/>
          <w:szCs w:val="31"/>
          <w:shd w:val="clear" w:color="auto" w:fill="FFFFFF"/>
          <w:lang w:val="en-US" w:eastAsia="zh-CN"/>
        </w:rPr>
        <w:t>（</w:t>
      </w:r>
      <w:r>
        <w:rPr>
          <w:rFonts w:hint="eastAsia" w:ascii="宋体" w:hAnsi="宋体" w:eastAsia="仿宋_GB2312" w:cs="仿宋_GB2312"/>
          <w:i w:val="0"/>
          <w:iCs w:val="0"/>
          <w:caps w:val="0"/>
          <w:color w:val="000000"/>
          <w:spacing w:val="0"/>
          <w:sz w:val="31"/>
          <w:szCs w:val="31"/>
          <w:shd w:val="clear" w:color="auto" w:fill="FFFFFF"/>
          <w:lang w:val="en-US" w:eastAsia="zh-CN"/>
        </w:rPr>
        <w:t>可参考附件2</w:t>
      </w:r>
      <w:r>
        <w:rPr>
          <w:rFonts w:hint="eastAsia" w:cs="仿宋_GB2312"/>
          <w:i w:val="0"/>
          <w:iCs w:val="0"/>
          <w:caps w:val="0"/>
          <w:color w:val="000000"/>
          <w:spacing w:val="0"/>
          <w:sz w:val="31"/>
          <w:szCs w:val="31"/>
          <w:shd w:val="clear" w:color="auto" w:fill="FFFFFF"/>
          <w:lang w:val="en-US" w:eastAsia="zh-CN"/>
        </w:rPr>
        <w:t>）</w:t>
      </w:r>
      <w:r>
        <w:rPr>
          <w:rFonts w:hint="eastAsia" w:ascii="宋体" w:hAnsi="宋体" w:eastAsia="仿宋_GB2312" w:cs="仿宋_GB2312"/>
          <w:i w:val="0"/>
          <w:iCs w:val="0"/>
          <w:caps w:val="0"/>
          <w:color w:val="000000"/>
          <w:spacing w:val="0"/>
          <w:sz w:val="31"/>
          <w:szCs w:val="31"/>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12" w:firstLineChars="20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_GB2312" w:cs="仿宋_GB2312"/>
          <w:i w:val="0"/>
          <w:iCs w:val="0"/>
          <w:caps w:val="0"/>
          <w:color w:val="000000"/>
          <w:spacing w:val="0"/>
          <w:sz w:val="31"/>
          <w:szCs w:val="31"/>
          <w:shd w:val="clear" w:color="auto" w:fill="FFFFFF"/>
          <w:lang w:val="en-US" w:eastAsia="zh-CN"/>
        </w:rPr>
        <w:t>定标因素的选择不得违反法律法规规定，并且应当具体明确、便于操作。招标人可将一个或几个定标因素委托评标委员会做出评价建议，供定标委员会参考，委托事项应在招标文件中载明。招标人可选择设置一种或几种因素定标，不得以单一的价格因素定标，具体定标因素及相关评审标准及要求投标人提供的材料应当在招标文件中明确，相关评审标准、分值应合理设置档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 w:cs="仿宋"/>
          <w:i w:val="0"/>
          <w:iCs w:val="0"/>
          <w:caps w:val="0"/>
          <w:color w:val="000000"/>
          <w:spacing w:val="0"/>
          <w:sz w:val="32"/>
          <w:szCs w:val="32"/>
          <w:shd w:val="clear" w:color="auto" w:fill="FFFFFF"/>
        </w:rPr>
        <w:t>　　</w:t>
      </w:r>
      <w:r>
        <w:rPr>
          <w:rStyle w:val="6"/>
          <w:rFonts w:hint="eastAsia" w:ascii="宋体" w:hAnsi="宋体" w:eastAsia="仿宋_GB2312" w:cs="仿宋_GB2312"/>
          <w:i w:val="0"/>
          <w:iCs w:val="0"/>
          <w:caps w:val="0"/>
          <w:color w:val="000000"/>
          <w:spacing w:val="0"/>
          <w:sz w:val="31"/>
          <w:szCs w:val="31"/>
          <w:shd w:val="clear" w:color="auto" w:fill="FFFFFF"/>
        </w:rPr>
        <w:t>2.定标报告。</w:t>
      </w:r>
      <w:r>
        <w:rPr>
          <w:rFonts w:hint="eastAsia" w:ascii="宋体" w:hAnsi="宋体" w:eastAsia="仿宋_GB2312" w:cs="仿宋_GB2312"/>
          <w:i w:val="0"/>
          <w:iCs w:val="0"/>
          <w:caps w:val="0"/>
          <w:color w:val="000000"/>
          <w:spacing w:val="0"/>
          <w:sz w:val="31"/>
          <w:szCs w:val="31"/>
          <w:shd w:val="clear" w:color="auto" w:fill="FFFFFF"/>
          <w:lang w:val="en-US" w:eastAsia="zh-CN"/>
        </w:rPr>
        <w:t>定标委员会应从评标委员会推荐的定标候选人中确定中标候选人，如推荐多名的，须标明排序。定标委员会应撰写定标报告并签字，提交招标人使用。定标报告内容包括：定标时间、所有定标候选人的评分结果或票数及理由、中标候选人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12" w:firstLineChars="200"/>
        <w:textAlignment w:val="auto"/>
        <w:rPr>
          <w:rFonts w:hint="eastAsia" w:ascii="宋体" w:hAnsi="宋体" w:eastAsia="楷体_GB2312" w:cs="楷体_GB2312"/>
          <w:i w:val="0"/>
          <w:iCs w:val="0"/>
          <w:caps w:val="0"/>
          <w:color w:val="000000"/>
          <w:spacing w:val="0"/>
          <w:sz w:val="31"/>
          <w:szCs w:val="31"/>
          <w:shd w:val="clear" w:color="auto" w:fill="FFFFFF"/>
          <w:lang w:eastAsia="zh-CN"/>
        </w:rPr>
      </w:pPr>
      <w:r>
        <w:rPr>
          <w:rFonts w:hint="eastAsia" w:ascii="宋体" w:hAnsi="宋体" w:eastAsia="楷体_GB2312" w:cs="楷体_GB2312"/>
          <w:i w:val="0"/>
          <w:iCs w:val="0"/>
          <w:caps w:val="0"/>
          <w:color w:val="000000"/>
          <w:spacing w:val="0"/>
          <w:sz w:val="31"/>
          <w:szCs w:val="31"/>
          <w:shd w:val="clear" w:color="auto" w:fill="FFFFFF"/>
          <w:lang w:eastAsia="zh-CN"/>
        </w:rPr>
        <w:t>（五）中标公示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_GB2312" w:cs="仿宋_GB2312"/>
          <w:i w:val="0"/>
          <w:iCs w:val="0"/>
          <w:caps w:val="0"/>
          <w:color w:val="000000"/>
          <w:spacing w:val="0"/>
          <w:sz w:val="31"/>
          <w:szCs w:val="31"/>
          <w:shd w:val="clear" w:color="auto" w:fill="FFFFFF"/>
          <w:lang w:val="en-US" w:eastAsia="zh-CN"/>
        </w:rPr>
        <w:t>　　按现行有关规定进行公示。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 w:cs="仿宋"/>
          <w:sz w:val="32"/>
          <w:szCs w:val="32"/>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仿宋" w:cs="仿宋"/>
          <w:b/>
          <w:bCs/>
          <w:i w:val="0"/>
          <w:iCs w:val="0"/>
          <w:caps w:val="0"/>
          <w:color w:val="000000"/>
          <w:spacing w:val="0"/>
          <w:sz w:val="32"/>
          <w:szCs w:val="32"/>
          <w:shd w:val="clear" w:color="auto" w:fill="FFFFFF"/>
        </w:rPr>
        <w:t>　</w:t>
      </w:r>
      <w:r>
        <w:rPr>
          <w:rFonts w:hint="eastAsia" w:ascii="宋体" w:hAnsi="宋体" w:eastAsia="黑体" w:cs="黑体"/>
          <w:b w:val="0"/>
          <w:bCs w:val="0"/>
          <w:i w:val="0"/>
          <w:iCs w:val="0"/>
          <w:caps w:val="0"/>
          <w:color w:val="000000"/>
          <w:spacing w:val="0"/>
          <w:sz w:val="31"/>
          <w:szCs w:val="31"/>
          <w:shd w:val="clear" w:color="auto" w:fill="FFFFFF"/>
        </w:rPr>
        <w:t>八、招标人内控机制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仿宋_GB2312" w:cs="仿宋_GB2312"/>
          <w:i w:val="0"/>
          <w:iCs w:val="0"/>
          <w:caps w:val="0"/>
          <w:color w:val="000000"/>
          <w:spacing w:val="0"/>
          <w:sz w:val="31"/>
          <w:szCs w:val="31"/>
          <w:shd w:val="clear" w:color="auto" w:fill="FFFFFF"/>
          <w:lang w:val="en-US" w:eastAsia="zh-CN"/>
        </w:rPr>
        <w:t>招标人应根据国家法律、法规和规章，结合工程项目的具体特点、难点，制定切实可行的“评定分离”方案，以达到最佳的招标效果。招标人的法定代表人或者主要负责人承担定标过程中的管理责任。招标文件合法性审查会签等记录应在招标文件备案前录入“三明市招标人行为监管平台”，实行招标全过程记录和可追溯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612" w:firstLineChars="200"/>
        <w:textAlignment w:val="auto"/>
        <w:rPr>
          <w:rFonts w:hint="eastAsia" w:ascii="宋体" w:hAnsi="宋体" w:eastAsia="楷体_GB2312" w:cs="楷体_GB2312"/>
          <w:i w:val="0"/>
          <w:iCs w:val="0"/>
          <w:caps w:val="0"/>
          <w:color w:val="000000"/>
          <w:spacing w:val="0"/>
          <w:sz w:val="31"/>
          <w:szCs w:val="31"/>
          <w:shd w:val="clear" w:color="auto" w:fill="FFFFFF"/>
          <w:lang w:eastAsia="zh-CN"/>
        </w:rPr>
      </w:pPr>
      <w:r>
        <w:rPr>
          <w:rFonts w:hint="eastAsia" w:ascii="宋体" w:hAnsi="宋体" w:eastAsia="楷体_GB2312" w:cs="楷体_GB2312"/>
          <w:i w:val="0"/>
          <w:iCs w:val="0"/>
          <w:caps w:val="0"/>
          <w:color w:val="000000"/>
          <w:spacing w:val="0"/>
          <w:sz w:val="31"/>
          <w:szCs w:val="31"/>
          <w:shd w:val="clear" w:color="auto" w:fill="FFFFFF"/>
          <w:lang w:eastAsia="zh-CN"/>
        </w:rPr>
        <w:t>（一）决策机制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仿宋_GB2312" w:cs="仿宋_GB2312"/>
          <w:i w:val="0"/>
          <w:iCs w:val="0"/>
          <w:caps w:val="0"/>
          <w:color w:val="000000"/>
          <w:spacing w:val="0"/>
          <w:sz w:val="31"/>
          <w:szCs w:val="31"/>
          <w:shd w:val="clear" w:color="auto" w:fill="FFFFFF"/>
          <w:lang w:val="en-US" w:eastAsia="zh-CN"/>
        </w:rPr>
        <w:t>定标办法、定标委员会的组建等应纳入“三重一大”决策机制和廉洁评估范围内或按企业制度履行审批程序。准备工作小组成员、定标委员会成员与定标候选人存在利害关系的，应主动回避，并书面说明回避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 w:cs="仿宋"/>
          <w:sz w:val="32"/>
          <w:szCs w:val="32"/>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楷体_GB2312" w:cs="楷体_GB2312"/>
          <w:i w:val="0"/>
          <w:iCs w:val="0"/>
          <w:caps w:val="0"/>
          <w:color w:val="000000"/>
          <w:spacing w:val="0"/>
          <w:sz w:val="31"/>
          <w:szCs w:val="31"/>
          <w:shd w:val="clear" w:color="auto" w:fill="FFFFFF"/>
          <w:lang w:eastAsia="zh-CN"/>
        </w:rPr>
        <w:t>　</w:t>
      </w:r>
      <w:r>
        <w:rPr>
          <w:rFonts w:hint="eastAsia" w:eastAsia="楷体_GB2312" w:cs="楷体_GB2312"/>
          <w:i w:val="0"/>
          <w:iCs w:val="0"/>
          <w:caps w:val="0"/>
          <w:color w:val="000000"/>
          <w:spacing w:val="0"/>
          <w:sz w:val="31"/>
          <w:szCs w:val="31"/>
          <w:shd w:val="clear" w:color="auto" w:fill="FFFFFF"/>
          <w:lang w:eastAsia="zh-CN"/>
        </w:rPr>
        <w:t>（二）</w:t>
      </w:r>
      <w:r>
        <w:rPr>
          <w:rFonts w:hint="eastAsia" w:ascii="宋体" w:hAnsi="宋体" w:eastAsia="楷体_GB2312" w:cs="楷体_GB2312"/>
          <w:i w:val="0"/>
          <w:iCs w:val="0"/>
          <w:caps w:val="0"/>
          <w:color w:val="000000"/>
          <w:spacing w:val="0"/>
          <w:sz w:val="31"/>
          <w:szCs w:val="31"/>
          <w:shd w:val="clear" w:color="auto" w:fill="FFFFFF"/>
          <w:lang w:eastAsia="zh-CN"/>
        </w:rPr>
        <w:t>监督机制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仿宋_GB2312" w:cs="仿宋_GB2312"/>
          <w:i w:val="0"/>
          <w:iCs w:val="0"/>
          <w:caps w:val="0"/>
          <w:color w:val="000000"/>
          <w:spacing w:val="0"/>
          <w:sz w:val="31"/>
          <w:szCs w:val="31"/>
          <w:shd w:val="clear" w:color="auto" w:fill="FFFFFF"/>
          <w:lang w:val="en-US" w:eastAsia="zh-CN"/>
        </w:rPr>
        <w:t>招标人或招标人的上级管理单位、项目业主可组建定标监督小组，负责监督定标委员会是否按既定的定标办法定标，定标办法及定标过程是否存在不公平、不公正的情形。监督工作完成后应撰写监督报告。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楷体" w:cs="楷体"/>
          <w:i w:val="0"/>
          <w:iCs w:val="0"/>
          <w:caps w:val="0"/>
          <w:color w:val="000000"/>
          <w:spacing w:val="0"/>
          <w:sz w:val="32"/>
          <w:szCs w:val="32"/>
          <w:shd w:val="clear" w:color="auto" w:fill="FFFFFF"/>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楷体_GB2312" w:cs="楷体_GB2312"/>
          <w:i w:val="0"/>
          <w:iCs w:val="0"/>
          <w:caps w:val="0"/>
          <w:color w:val="000000"/>
          <w:spacing w:val="0"/>
          <w:sz w:val="31"/>
          <w:szCs w:val="31"/>
          <w:shd w:val="clear" w:color="auto" w:fill="FFFFFF"/>
          <w:lang w:eastAsia="zh-CN"/>
        </w:rPr>
        <w:t>（三）追溯机制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仿宋_GB2312" w:cs="仿宋_GB2312"/>
          <w:i w:val="0"/>
          <w:iCs w:val="0"/>
          <w:caps w:val="0"/>
          <w:color w:val="000000"/>
          <w:spacing w:val="0"/>
          <w:sz w:val="31"/>
          <w:szCs w:val="31"/>
          <w:shd w:val="clear" w:color="auto" w:fill="FFFFFF"/>
          <w:lang w:val="en-US" w:eastAsia="zh-CN"/>
        </w:rPr>
        <w:t>招标人有关的定标资料应作为工程技术档案保存，按《中华人民共和国档案法》的有关规定执行。其中定标工作需在公共资源交易中心开展，各级交易中心应按照《福建省公共资源交易平台服务标准（2.1）》的相关要求设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textAlignment w:val="auto"/>
        <w:rPr>
          <w:rFonts w:hint="eastAsia" w:ascii="宋体" w:hAnsi="宋体" w:eastAsia="仿宋" w:cs="仿宋"/>
          <w:sz w:val="32"/>
          <w:szCs w:val="32"/>
        </w:rPr>
      </w:pPr>
      <w:r>
        <w:rPr>
          <w:rFonts w:hint="eastAsia" w:ascii="宋体" w:hAnsi="宋体" w:eastAsia="仿宋" w:cs="仿宋"/>
          <w:i w:val="0"/>
          <w:iCs w:val="0"/>
          <w:caps w:val="0"/>
          <w:color w:val="000000"/>
          <w:spacing w:val="0"/>
          <w:sz w:val="32"/>
          <w:szCs w:val="32"/>
          <w:shd w:val="clear" w:color="auto" w:fill="FFFFFF"/>
        </w:rPr>
        <w:t>　　</w:t>
      </w:r>
      <w:r>
        <w:rPr>
          <w:rFonts w:hint="eastAsia" w:ascii="宋体" w:hAnsi="宋体" w:eastAsia="黑体" w:cs="黑体"/>
          <w:b w:val="0"/>
          <w:bCs w:val="0"/>
          <w:i w:val="0"/>
          <w:iCs w:val="0"/>
          <w:caps w:val="0"/>
          <w:color w:val="000000"/>
          <w:spacing w:val="0"/>
          <w:sz w:val="31"/>
          <w:szCs w:val="31"/>
          <w:shd w:val="clear" w:color="auto" w:fill="FFFFFF"/>
        </w:rPr>
        <w:t>九、效果核查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12" w:firstLineChars="20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_GB2312" w:cs="仿宋_GB2312"/>
          <w:i w:val="0"/>
          <w:iCs w:val="0"/>
          <w:caps w:val="0"/>
          <w:color w:val="000000"/>
          <w:spacing w:val="0"/>
          <w:sz w:val="31"/>
          <w:szCs w:val="31"/>
          <w:shd w:val="clear" w:color="auto" w:fill="FFFFFF"/>
          <w:lang w:val="en-US" w:eastAsia="zh-CN"/>
        </w:rPr>
        <w:t>行政监督部门可采用随机抽查和定向检查相结合的方式对其监管的招标项目进行招标效果核查。项目实施过程中发生质量安全事故、拖欠农民工工资情形、受到相关部门通报批评的，列入专项检查范围。核查过程中发现招投标活动存在违法、违规问题的，依法依规处理并将有关情况通报招标人上级主管部门和纪检监察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12" w:firstLineChars="200"/>
        <w:textAlignment w:val="auto"/>
        <w:rPr>
          <w:rFonts w:hint="eastAsia" w:ascii="宋体" w:hAnsi="宋体" w:eastAsia="黑体" w:cs="黑体"/>
          <w:b w:val="0"/>
          <w:bCs w:val="0"/>
          <w:i w:val="0"/>
          <w:iCs w:val="0"/>
          <w:caps w:val="0"/>
          <w:color w:val="000000"/>
          <w:spacing w:val="0"/>
          <w:sz w:val="31"/>
          <w:szCs w:val="31"/>
          <w:shd w:val="clear" w:color="auto" w:fill="FFFFFF"/>
          <w:lang w:val="en-US" w:eastAsia="zh-CN"/>
        </w:rPr>
      </w:pPr>
      <w:r>
        <w:rPr>
          <w:rFonts w:hint="eastAsia" w:ascii="宋体" w:hAnsi="宋体" w:eastAsia="黑体" w:cs="黑体"/>
          <w:b w:val="0"/>
          <w:bCs w:val="0"/>
          <w:i w:val="0"/>
          <w:iCs w:val="0"/>
          <w:caps w:val="0"/>
          <w:color w:val="000000"/>
          <w:spacing w:val="0"/>
          <w:sz w:val="31"/>
          <w:szCs w:val="31"/>
          <w:shd w:val="clear" w:color="auto" w:fill="FFFFFF"/>
          <w:lang w:val="en-US" w:eastAsia="zh-CN"/>
        </w:rPr>
        <w:t>十、有效期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12" w:firstLineChars="200"/>
        <w:textAlignment w:val="auto"/>
        <w:rPr>
          <w:rFonts w:hint="default"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_GB2312" w:cs="仿宋_GB2312"/>
          <w:i w:val="0"/>
          <w:iCs w:val="0"/>
          <w:caps w:val="0"/>
          <w:color w:val="000000"/>
          <w:spacing w:val="0"/>
          <w:sz w:val="31"/>
          <w:szCs w:val="31"/>
          <w:shd w:val="clear" w:color="auto" w:fill="FFFFFF"/>
          <w:lang w:val="en-US" w:eastAsia="zh-CN"/>
        </w:rPr>
        <w:t>本指导意见自印发之日起执行，有效期至2026年12月31日。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31"/>
        <w:textAlignment w:val="auto"/>
        <w:rPr>
          <w:rFonts w:hint="eastAsia" w:ascii="宋体" w:hAnsi="宋体" w:eastAsia="仿宋" w:cs="仿宋"/>
          <w:i w:val="0"/>
          <w:iCs w:val="0"/>
          <w:caps w:val="0"/>
          <w:color w:val="000000"/>
          <w:spacing w:val="0"/>
          <w:sz w:val="32"/>
          <w:szCs w:val="32"/>
          <w:shd w:val="clear" w:color="auto" w:fill="FFFFFF"/>
        </w:rPr>
      </w:pPr>
      <w:r>
        <w:rPr>
          <w:rFonts w:hint="eastAsia" w:ascii="宋体" w:hAnsi="宋体" w:eastAsia="仿宋" w:cs="仿宋"/>
          <w:i w:val="0"/>
          <w:iCs w:val="0"/>
          <w:caps w:val="0"/>
          <w:color w:val="000000"/>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firstLine="306" w:firstLineChars="10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_GB2312" w:cs="仿宋_GB2312"/>
          <w:i w:val="0"/>
          <w:iCs w:val="0"/>
          <w:caps w:val="0"/>
          <w:color w:val="000000"/>
          <w:spacing w:val="0"/>
          <w:sz w:val="31"/>
          <w:szCs w:val="31"/>
          <w:shd w:val="clear" w:color="auto" w:fill="FFFFFF"/>
          <w:lang w:val="en-US" w:eastAsia="zh-CN"/>
        </w:rPr>
        <w:t>　附件：1.定标表格</w:t>
      </w:r>
      <w:r>
        <w:rPr>
          <w:rFonts w:hint="eastAsia" w:cs="仿宋_GB2312"/>
          <w:i w:val="0"/>
          <w:iCs w:val="0"/>
          <w:caps w:val="0"/>
          <w:color w:val="000000"/>
          <w:spacing w:val="0"/>
          <w:sz w:val="31"/>
          <w:szCs w:val="31"/>
          <w:shd w:val="clear" w:color="auto" w:fill="FFFFFF"/>
          <w:lang w:val="en-US" w:eastAsia="zh-CN"/>
        </w:rPr>
        <w:t>（</w:t>
      </w:r>
      <w:r>
        <w:rPr>
          <w:rFonts w:hint="eastAsia" w:ascii="宋体" w:hAnsi="宋体" w:eastAsia="仿宋_GB2312" w:cs="仿宋_GB2312"/>
          <w:i w:val="0"/>
          <w:iCs w:val="0"/>
          <w:caps w:val="0"/>
          <w:color w:val="000000"/>
          <w:spacing w:val="0"/>
          <w:sz w:val="31"/>
          <w:szCs w:val="31"/>
          <w:shd w:val="clear" w:color="auto" w:fill="FFFFFF"/>
          <w:lang w:val="en-US" w:eastAsia="zh-CN"/>
        </w:rPr>
        <w:t>样式</w:t>
      </w:r>
      <w:r>
        <w:rPr>
          <w:rFonts w:hint="eastAsia" w:cs="仿宋_GB2312"/>
          <w:i w:val="0"/>
          <w:iCs w:val="0"/>
          <w:caps w:val="0"/>
          <w:color w:val="000000"/>
          <w:spacing w:val="0"/>
          <w:sz w:val="31"/>
          <w:szCs w:val="31"/>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612" w:firstLineChars="200"/>
        <w:textAlignment w:val="auto"/>
        <w:rPr>
          <w:rFonts w:hint="eastAsia" w:ascii="宋体" w:hAnsi="宋体" w:eastAsia="仿宋_GB2312" w:cs="仿宋_GB2312"/>
          <w:i w:val="0"/>
          <w:iCs w:val="0"/>
          <w:caps w:val="0"/>
          <w:color w:val="000000"/>
          <w:spacing w:val="0"/>
          <w:sz w:val="31"/>
          <w:szCs w:val="31"/>
          <w:shd w:val="clear" w:color="auto" w:fill="FFFFFF"/>
          <w:lang w:val="en-US" w:eastAsia="zh-CN"/>
        </w:rPr>
      </w:pPr>
      <w:r>
        <w:rPr>
          <w:rFonts w:hint="eastAsia" w:ascii="宋体" w:hAnsi="宋体" w:eastAsia="仿宋_GB2312" w:cs="仿宋_GB2312"/>
          <w:i w:val="0"/>
          <w:iCs w:val="0"/>
          <w:caps w:val="0"/>
          <w:color w:val="000000"/>
          <w:spacing w:val="0"/>
          <w:sz w:val="31"/>
          <w:szCs w:val="31"/>
          <w:shd w:val="clear" w:color="auto" w:fill="FFFFFF"/>
          <w:lang w:val="en-US" w:eastAsia="zh-CN"/>
        </w:rPr>
        <w:t>　　　2.定标因素</w:t>
      </w:r>
    </w:p>
    <w:p>
      <w:pPr>
        <w:adjustRightInd w:val="0"/>
        <w:sectPr>
          <w:footerReference r:id="rId3" w:type="default"/>
          <w:footerReference r:id="rId4" w:type="even"/>
          <w:pgSz w:w="11906" w:h="16838"/>
          <w:pgMar w:top="1985" w:right="1531" w:bottom="1871" w:left="1531" w:header="851" w:footer="1588" w:gutter="0"/>
          <w:pgNumType w:start="3"/>
          <w:cols w:space="720" w:num="1"/>
          <w:docGrid w:type="linesAndChars" w:linePitch="590" w:charSpace="-849"/>
        </w:sectPr>
      </w:pPr>
    </w:p>
    <w:p>
      <w:pPr>
        <w:adjustRightInd w:val="0"/>
        <w:spacing w:line="240" w:lineRule="auto"/>
        <w:rPr>
          <w:rFonts w:hint="eastAsia" w:ascii="黑体" w:hAnsi="黑体" w:eastAsia="黑体" w:cs="黑体"/>
          <w:b w:val="0"/>
          <w:bCs w:val="0"/>
          <w:color w:val="auto"/>
          <w:sz w:val="31"/>
          <w:szCs w:val="31"/>
        </w:rPr>
      </w:pPr>
      <w:r>
        <w:rPr>
          <w:rFonts w:hint="eastAsia" w:ascii="黑体" w:hAnsi="黑体" w:eastAsia="黑体" w:cs="黑体"/>
          <w:b w:val="0"/>
          <w:bCs w:val="0"/>
          <w:color w:val="auto"/>
          <w:sz w:val="31"/>
          <w:szCs w:val="31"/>
        </w:rPr>
        <w:t>附件1</w:t>
      </w:r>
    </w:p>
    <w:p>
      <w:pPr>
        <w:adjustRightInd w:val="0"/>
        <w:spacing w:line="240" w:lineRule="auto"/>
        <w:jc w:val="center"/>
        <w:rPr>
          <w:rFonts w:hint="eastAsia" w:ascii="方正小标宋简体" w:hAnsi="方正小标宋简体" w:eastAsia="方正小标宋简体" w:cs="方正小标宋简体"/>
          <w:b w:val="0"/>
          <w:bCs w:val="0"/>
          <w:color w:val="auto"/>
          <w:sz w:val="40"/>
          <w:szCs w:val="40"/>
          <w:u w:val="single"/>
        </w:rPr>
      </w:pPr>
      <w:r>
        <w:rPr>
          <w:rFonts w:hint="eastAsia" w:ascii="方正小标宋简体" w:hAnsi="方正小标宋简体" w:eastAsia="方正小标宋简体" w:cs="方正小标宋简体"/>
          <w:b w:val="0"/>
          <w:bCs w:val="0"/>
          <w:color w:val="auto"/>
          <w:sz w:val="40"/>
          <w:szCs w:val="40"/>
          <w:u w:val="single"/>
        </w:rPr>
        <w:t xml:space="preserve">       </w:t>
      </w:r>
      <w:r>
        <w:rPr>
          <w:rFonts w:hint="eastAsia" w:ascii="方正小标宋简体" w:hAnsi="方正小标宋简体" w:eastAsia="方正小标宋简体" w:cs="方正小标宋简体"/>
          <w:b w:val="0"/>
          <w:bCs w:val="0"/>
          <w:color w:val="auto"/>
          <w:sz w:val="40"/>
          <w:szCs w:val="40"/>
          <w:u w:val="none"/>
        </w:rPr>
        <w:t>项目定标评分表</w:t>
      </w:r>
    </w:p>
    <w:p>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定标候选人名称：                                 定标时间：                           地点：</w:t>
      </w:r>
    </w:p>
    <w:tbl>
      <w:tblPr>
        <w:tblStyle w:val="8"/>
        <w:tblW w:w="1347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0"/>
        <w:gridCol w:w="4819"/>
        <w:gridCol w:w="1767"/>
        <w:gridCol w:w="7"/>
        <w:gridCol w:w="2410"/>
        <w:gridCol w:w="2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5" w:hRule="atLeast"/>
          <w:jc w:val="center"/>
        </w:trPr>
        <w:tc>
          <w:tcPr>
            <w:tcW w:w="199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定标因素（根据定标方案选择）</w:t>
            </w:r>
          </w:p>
        </w:tc>
        <w:tc>
          <w:tcPr>
            <w:tcW w:w="481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详细</w:t>
            </w:r>
            <w:r>
              <w:rPr>
                <w:rFonts w:hint="eastAsia" w:ascii="仿宋_GB2312" w:hAnsi="仿宋_GB2312" w:eastAsia="仿宋_GB2312" w:cs="仿宋_GB2312"/>
                <w:b w:val="0"/>
                <w:bCs w:val="0"/>
                <w:color w:val="auto"/>
                <w:sz w:val="24"/>
                <w:szCs w:val="24"/>
                <w:lang w:val="en-US" w:eastAsia="zh-CN"/>
              </w:rPr>
              <w:t>评审</w:t>
            </w:r>
            <w:r>
              <w:rPr>
                <w:rFonts w:hint="eastAsia" w:ascii="仿宋_GB2312" w:hAnsi="仿宋_GB2312" w:eastAsia="仿宋_GB2312" w:cs="仿宋_GB2312"/>
                <w:b w:val="0"/>
                <w:bCs w:val="0"/>
                <w:color w:val="auto"/>
                <w:sz w:val="24"/>
                <w:szCs w:val="24"/>
                <w:lang w:eastAsia="zh-CN"/>
              </w:rPr>
              <w:t>标准</w:t>
            </w:r>
          </w:p>
        </w:tc>
        <w:tc>
          <w:tcPr>
            <w:tcW w:w="177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5"/>
                <w:sz w:val="24"/>
                <w:szCs w:val="24"/>
              </w:rPr>
              <w:t>分值</w:t>
            </w:r>
          </w:p>
        </w:tc>
        <w:tc>
          <w:tcPr>
            <w:tcW w:w="2410"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2"/>
                <w:sz w:val="24"/>
                <w:szCs w:val="24"/>
              </w:rPr>
              <w:t>实际情况记录</w:t>
            </w:r>
          </w:p>
        </w:tc>
        <w:tc>
          <w:tcPr>
            <w:tcW w:w="24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5"/>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jc w:val="center"/>
        </w:trPr>
        <w:tc>
          <w:tcPr>
            <w:tcW w:w="199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3"/>
                <w:sz w:val="24"/>
                <w:szCs w:val="24"/>
              </w:rPr>
              <w:t>价格因素</w:t>
            </w:r>
          </w:p>
        </w:tc>
        <w:tc>
          <w:tcPr>
            <w:tcW w:w="481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p>
        </w:tc>
        <w:tc>
          <w:tcPr>
            <w:tcW w:w="177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p>
        </w:tc>
        <w:tc>
          <w:tcPr>
            <w:tcW w:w="2410"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p>
        </w:tc>
        <w:tc>
          <w:tcPr>
            <w:tcW w:w="2479"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jc w:val="center"/>
        </w:trPr>
        <w:tc>
          <w:tcPr>
            <w:tcW w:w="199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3"/>
                <w:sz w:val="24"/>
                <w:szCs w:val="24"/>
              </w:rPr>
              <w:t>方案因素</w:t>
            </w:r>
          </w:p>
        </w:tc>
        <w:tc>
          <w:tcPr>
            <w:tcW w:w="481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p>
        </w:tc>
        <w:tc>
          <w:tcPr>
            <w:tcW w:w="177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p>
        </w:tc>
        <w:tc>
          <w:tcPr>
            <w:tcW w:w="2410"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p>
        </w:tc>
        <w:tc>
          <w:tcPr>
            <w:tcW w:w="2479"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jc w:val="center"/>
        </w:trPr>
        <w:tc>
          <w:tcPr>
            <w:tcW w:w="199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3"/>
                <w:sz w:val="24"/>
                <w:szCs w:val="24"/>
              </w:rPr>
              <w:t>答辩因素</w:t>
            </w:r>
          </w:p>
        </w:tc>
        <w:tc>
          <w:tcPr>
            <w:tcW w:w="481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p>
        </w:tc>
        <w:tc>
          <w:tcPr>
            <w:tcW w:w="177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p>
        </w:tc>
        <w:tc>
          <w:tcPr>
            <w:tcW w:w="2410"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p>
        </w:tc>
        <w:tc>
          <w:tcPr>
            <w:tcW w:w="2479"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jc w:val="center"/>
        </w:trPr>
        <w:tc>
          <w:tcPr>
            <w:tcW w:w="199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团队因素</w:t>
            </w:r>
          </w:p>
        </w:tc>
        <w:tc>
          <w:tcPr>
            <w:tcW w:w="481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7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2417" w:type="dxa"/>
            <w:gridSpan w:val="2"/>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2479"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jc w:val="center"/>
        </w:trPr>
        <w:tc>
          <w:tcPr>
            <w:tcW w:w="199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性能因素</w:t>
            </w:r>
          </w:p>
        </w:tc>
        <w:tc>
          <w:tcPr>
            <w:tcW w:w="481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7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2417" w:type="dxa"/>
            <w:gridSpan w:val="2"/>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2479"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6" w:hRule="atLeast"/>
          <w:jc w:val="center"/>
        </w:trPr>
        <w:tc>
          <w:tcPr>
            <w:tcW w:w="199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资信因素</w:t>
            </w:r>
          </w:p>
        </w:tc>
        <w:tc>
          <w:tcPr>
            <w:tcW w:w="481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7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2417" w:type="dxa"/>
            <w:gridSpan w:val="2"/>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2479"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jc w:val="center"/>
        </w:trPr>
        <w:tc>
          <w:tcPr>
            <w:tcW w:w="1990" w:type="dxa"/>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服务因素</w:t>
            </w:r>
          </w:p>
        </w:tc>
        <w:tc>
          <w:tcPr>
            <w:tcW w:w="481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7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2417" w:type="dxa"/>
            <w:gridSpan w:val="2"/>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2479"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 w:hRule="atLeast"/>
          <w:jc w:val="center"/>
        </w:trPr>
        <w:tc>
          <w:tcPr>
            <w:tcW w:w="1990" w:type="dxa"/>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质量目标、安全文明施工目标因素</w:t>
            </w:r>
          </w:p>
        </w:tc>
        <w:tc>
          <w:tcPr>
            <w:tcW w:w="4819"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7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2417" w:type="dxa"/>
            <w:gridSpan w:val="2"/>
            <w:tcBorders>
              <w:top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2479" w:type="dxa"/>
            <w:tcBorders>
              <w:top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r>
    </w:tbl>
    <w:p>
      <w:pPr>
        <w:adjustRightInd w:val="0"/>
        <w:spacing w:line="240" w:lineRule="auto"/>
        <w:jc w:val="center"/>
        <w:rPr>
          <w:rFonts w:hint="eastAsia" w:ascii="方正小标宋简体" w:hAnsi="方正小标宋简体" w:eastAsia="方正小标宋简体" w:cs="方正小标宋简体"/>
          <w:b w:val="0"/>
          <w:bCs w:val="0"/>
          <w:color w:val="auto"/>
          <w:sz w:val="36"/>
          <w:szCs w:val="36"/>
        </w:rPr>
      </w:pPr>
      <w:r>
        <w:rPr>
          <w:rFonts w:hint="eastAsia" w:ascii="仿宋_GB2312" w:hAnsi="仿宋_GB2312" w:cs="仿宋_GB2312"/>
          <w:b w:val="0"/>
          <w:bCs w:val="0"/>
          <w:color w:val="auto"/>
          <w:sz w:val="24"/>
          <w:szCs w:val="24"/>
        </w:rPr>
        <w:br w:type="page"/>
      </w:r>
      <w:r>
        <w:rPr>
          <w:rFonts w:hint="eastAsia" w:ascii="方正小标宋简体" w:hAnsi="方正小标宋简体" w:eastAsia="方正小标宋简体" w:cs="方正小标宋简体"/>
          <w:b w:val="0"/>
          <w:bCs w:val="0"/>
          <w:color w:val="auto"/>
          <w:sz w:val="40"/>
          <w:szCs w:val="40"/>
          <w:u w:val="single"/>
        </w:rPr>
        <w:t xml:space="preserve">           </w:t>
      </w:r>
      <w:r>
        <w:rPr>
          <w:rFonts w:hint="eastAsia" w:ascii="方正小标宋简体" w:hAnsi="方正小标宋简体" w:eastAsia="方正小标宋简体" w:cs="方正小标宋简体"/>
          <w:b w:val="0"/>
          <w:bCs w:val="0"/>
          <w:color w:val="auto"/>
          <w:sz w:val="40"/>
          <w:szCs w:val="40"/>
        </w:rPr>
        <w:t>项目定标评分汇总表</w:t>
      </w:r>
    </w:p>
    <w:p>
      <w:pPr>
        <w:adjustRightInd w:val="0"/>
        <w:spacing w:line="240" w:lineRule="auto"/>
        <w:jc w:val="left"/>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sz w:val="24"/>
          <w:szCs w:val="24"/>
        </w:rPr>
        <w:t xml:space="preserve"> </w:t>
      </w:r>
      <w:r>
        <w:rPr>
          <w:rFonts w:hint="eastAsia" w:ascii="仿宋_GB2312" w:hAnsi="仿宋_GB2312" w:eastAsia="仿宋_GB2312" w:cs="仿宋_GB2312"/>
          <w:b w:val="0"/>
          <w:bCs w:val="0"/>
          <w:color w:val="auto"/>
          <w:sz w:val="24"/>
          <w:szCs w:val="24"/>
        </w:rPr>
        <w:t xml:space="preserve"> 定标时间：                                                                   地点：</w:t>
      </w:r>
    </w:p>
    <w:tbl>
      <w:tblPr>
        <w:tblStyle w:val="8"/>
        <w:tblW w:w="13477" w:type="dxa"/>
        <w:jc w:val="center"/>
        <w:tblInd w:w="0" w:type="dxa"/>
        <w:tblLayout w:type="fixed"/>
        <w:tblCellMar>
          <w:top w:w="0" w:type="dxa"/>
          <w:left w:w="10" w:type="dxa"/>
          <w:bottom w:w="0" w:type="dxa"/>
          <w:right w:w="10" w:type="dxa"/>
        </w:tblCellMar>
      </w:tblPr>
      <w:tblGrid>
        <w:gridCol w:w="2501"/>
        <w:gridCol w:w="1371"/>
        <w:gridCol w:w="1282"/>
        <w:gridCol w:w="1277"/>
        <w:gridCol w:w="1157"/>
        <w:gridCol w:w="1157"/>
        <w:gridCol w:w="1162"/>
        <w:gridCol w:w="1282"/>
        <w:gridCol w:w="1282"/>
        <w:gridCol w:w="1006"/>
      </w:tblGrid>
      <w:tr>
        <w:tblPrEx>
          <w:tblLayout w:type="fixed"/>
          <w:tblCellMar>
            <w:top w:w="0" w:type="dxa"/>
            <w:left w:w="10" w:type="dxa"/>
            <w:bottom w:w="0" w:type="dxa"/>
            <w:right w:w="10" w:type="dxa"/>
          </w:tblCellMar>
        </w:tblPrEx>
        <w:trPr>
          <w:trHeight w:val="1800" w:hRule="exact"/>
          <w:jc w:val="center"/>
        </w:trPr>
        <w:tc>
          <w:tcPr>
            <w:tcW w:w="2501" w:type="dxa"/>
            <w:tcBorders>
              <w:top w:val="single" w:color="auto" w:sz="4" w:space="0"/>
              <w:left w:val="single" w:color="auto"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中标候选人名称</w:t>
            </w:r>
          </w:p>
        </w:tc>
        <w:tc>
          <w:tcPr>
            <w:tcW w:w="1371" w:type="dxa"/>
            <w:tcBorders>
              <w:top w:val="single" w:color="auto" w:sz="4" w:space="0"/>
              <w:left w:val="single" w:color="auto"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价格因素</w:t>
            </w:r>
          </w:p>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平均得分</w:t>
            </w:r>
          </w:p>
        </w:tc>
        <w:tc>
          <w:tcPr>
            <w:tcW w:w="1282" w:type="dxa"/>
            <w:tcBorders>
              <w:top w:val="single" w:color="auto" w:sz="4" w:space="0"/>
              <w:left w:val="single" w:color="auto"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方案因素</w:t>
            </w:r>
          </w:p>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平均得分</w:t>
            </w:r>
          </w:p>
        </w:tc>
        <w:tc>
          <w:tcPr>
            <w:tcW w:w="1277" w:type="dxa"/>
            <w:tcBorders>
              <w:top w:val="single" w:color="auto" w:sz="4" w:space="0"/>
              <w:left w:val="single" w:color="auto"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答辩因素</w:t>
            </w:r>
          </w:p>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平均得分</w:t>
            </w:r>
          </w:p>
        </w:tc>
        <w:tc>
          <w:tcPr>
            <w:tcW w:w="1157" w:type="dxa"/>
            <w:tcBorders>
              <w:top w:val="single" w:color="auto" w:sz="4" w:space="0"/>
              <w:left w:val="single" w:color="auto"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团队因素平均得分</w:t>
            </w:r>
          </w:p>
        </w:tc>
        <w:tc>
          <w:tcPr>
            <w:tcW w:w="1157" w:type="dxa"/>
            <w:tcBorders>
              <w:top w:val="single" w:color="auto" w:sz="4" w:space="0"/>
              <w:left w:val="single" w:color="auto"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性能因素平均得分</w:t>
            </w:r>
          </w:p>
        </w:tc>
        <w:tc>
          <w:tcPr>
            <w:tcW w:w="1162" w:type="dxa"/>
            <w:tcBorders>
              <w:top w:val="single" w:color="auto" w:sz="4" w:space="0"/>
              <w:left w:val="single" w:color="auto"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资信因素平均得分</w:t>
            </w:r>
          </w:p>
        </w:tc>
        <w:tc>
          <w:tcPr>
            <w:tcW w:w="1282" w:type="dxa"/>
            <w:tcBorders>
              <w:top w:val="single" w:color="auto" w:sz="4" w:space="0"/>
              <w:left w:val="single" w:color="auto"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服务因素</w:t>
            </w:r>
          </w:p>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平均得分</w:t>
            </w:r>
          </w:p>
        </w:tc>
        <w:tc>
          <w:tcPr>
            <w:tcW w:w="1282" w:type="dxa"/>
            <w:tcBorders>
              <w:top w:val="single" w:color="auto" w:sz="4" w:space="0"/>
              <w:left w:val="single" w:color="auto"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lang w:val="en-US" w:eastAsia="zh-CN"/>
              </w:rPr>
              <w:t>质量目标、安全文明施工目标</w:t>
            </w:r>
          </w:p>
        </w:tc>
        <w:tc>
          <w:tcPr>
            <w:tcW w:w="1006"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总得分</w:t>
            </w:r>
          </w:p>
        </w:tc>
      </w:tr>
      <w:tr>
        <w:tblPrEx>
          <w:tblLayout w:type="fixed"/>
          <w:tblCellMar>
            <w:top w:w="0" w:type="dxa"/>
            <w:left w:w="10" w:type="dxa"/>
            <w:bottom w:w="0" w:type="dxa"/>
            <w:right w:w="10" w:type="dxa"/>
          </w:tblCellMar>
        </w:tblPrEx>
        <w:trPr>
          <w:trHeight w:val="600" w:hRule="exact"/>
          <w:jc w:val="center"/>
        </w:trPr>
        <w:tc>
          <w:tcPr>
            <w:tcW w:w="2501"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371"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8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77"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157"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157"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16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8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8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006"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r>
      <w:tr>
        <w:tblPrEx>
          <w:tblLayout w:type="fixed"/>
          <w:tblCellMar>
            <w:top w:w="0" w:type="dxa"/>
            <w:left w:w="10" w:type="dxa"/>
            <w:bottom w:w="0" w:type="dxa"/>
            <w:right w:w="10" w:type="dxa"/>
          </w:tblCellMar>
        </w:tblPrEx>
        <w:trPr>
          <w:trHeight w:val="600" w:hRule="exact"/>
          <w:jc w:val="center"/>
        </w:trPr>
        <w:tc>
          <w:tcPr>
            <w:tcW w:w="2501"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371"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8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77"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157"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157"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16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8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8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006"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r>
      <w:tr>
        <w:tblPrEx>
          <w:tblLayout w:type="fixed"/>
          <w:tblCellMar>
            <w:top w:w="0" w:type="dxa"/>
            <w:left w:w="10" w:type="dxa"/>
            <w:bottom w:w="0" w:type="dxa"/>
            <w:right w:w="10" w:type="dxa"/>
          </w:tblCellMar>
        </w:tblPrEx>
        <w:trPr>
          <w:trHeight w:val="600" w:hRule="exact"/>
          <w:jc w:val="center"/>
        </w:trPr>
        <w:tc>
          <w:tcPr>
            <w:tcW w:w="2501"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371"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8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77"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157"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157"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16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8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8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006"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r>
      <w:tr>
        <w:tblPrEx>
          <w:tblLayout w:type="fixed"/>
          <w:tblCellMar>
            <w:top w:w="0" w:type="dxa"/>
            <w:left w:w="10" w:type="dxa"/>
            <w:bottom w:w="0" w:type="dxa"/>
            <w:right w:w="10" w:type="dxa"/>
          </w:tblCellMar>
        </w:tblPrEx>
        <w:trPr>
          <w:trHeight w:val="595" w:hRule="exact"/>
          <w:jc w:val="center"/>
        </w:trPr>
        <w:tc>
          <w:tcPr>
            <w:tcW w:w="2501"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371"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8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77"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157"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157"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16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8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8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006"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r>
      <w:tr>
        <w:tblPrEx>
          <w:tblLayout w:type="fixed"/>
          <w:tblCellMar>
            <w:top w:w="0" w:type="dxa"/>
            <w:left w:w="10" w:type="dxa"/>
            <w:bottom w:w="0" w:type="dxa"/>
            <w:right w:w="10" w:type="dxa"/>
          </w:tblCellMar>
        </w:tblPrEx>
        <w:trPr>
          <w:trHeight w:val="600" w:hRule="exact"/>
          <w:jc w:val="center"/>
        </w:trPr>
        <w:tc>
          <w:tcPr>
            <w:tcW w:w="2501"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371"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8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77"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157"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157"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16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8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282" w:type="dxa"/>
            <w:tcBorders>
              <w:top w:val="single" w:color="auto" w:sz="4" w:space="0"/>
              <w:lef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c>
          <w:tcPr>
            <w:tcW w:w="1006" w:type="dxa"/>
            <w:tcBorders>
              <w:top w:val="single" w:color="auto" w:sz="4" w:space="0"/>
              <w:left w:val="single" w:color="auto" w:sz="4" w:space="0"/>
              <w:right w:val="single" w:color="auto" w:sz="4"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jc w:val="center"/>
              <w:textAlignment w:val="baseline"/>
              <w:rPr>
                <w:rFonts w:hint="eastAsia" w:ascii="仿宋_GB2312" w:hAnsi="仿宋_GB2312" w:eastAsia="仿宋_GB2312" w:cs="仿宋_GB2312"/>
                <w:b w:val="0"/>
                <w:bCs w:val="0"/>
                <w:color w:val="auto"/>
                <w:spacing w:val="3"/>
                <w:sz w:val="24"/>
                <w:szCs w:val="24"/>
              </w:rPr>
            </w:pPr>
          </w:p>
        </w:tc>
      </w:tr>
      <w:tr>
        <w:tblPrEx>
          <w:tblLayout w:type="fixed"/>
          <w:tblCellMar>
            <w:top w:w="0" w:type="dxa"/>
            <w:left w:w="10" w:type="dxa"/>
            <w:bottom w:w="0" w:type="dxa"/>
            <w:right w:w="10" w:type="dxa"/>
          </w:tblCellMar>
        </w:tblPrEx>
        <w:trPr>
          <w:trHeight w:val="619" w:hRule="exact"/>
          <w:jc w:val="center"/>
        </w:trPr>
        <w:tc>
          <w:tcPr>
            <w:tcW w:w="13477"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定标结论：（说明评分结果或票数及理由，定标委员会根据定标办法X条X款，确定XX公司为中标</w:t>
            </w:r>
            <w:r>
              <w:rPr>
                <w:rFonts w:hint="eastAsia" w:ascii="仿宋_GB2312" w:hAnsi="仿宋_GB2312" w:eastAsia="仿宋_GB2312" w:cs="仿宋_GB2312"/>
                <w:b w:val="0"/>
                <w:bCs w:val="0"/>
                <w:color w:val="auto"/>
                <w:spacing w:val="3"/>
                <w:sz w:val="24"/>
                <w:szCs w:val="24"/>
                <w:lang w:eastAsia="zh-CN"/>
              </w:rPr>
              <w:t>候选</w:t>
            </w:r>
            <w:r>
              <w:rPr>
                <w:rFonts w:hint="eastAsia" w:ascii="仿宋_GB2312" w:hAnsi="仿宋_GB2312" w:eastAsia="仿宋_GB2312" w:cs="仿宋_GB2312"/>
                <w:b w:val="0"/>
                <w:bCs w:val="0"/>
                <w:color w:val="auto"/>
                <w:spacing w:val="3"/>
                <w:sz w:val="24"/>
                <w:szCs w:val="24"/>
              </w:rPr>
              <w:t>人</w:t>
            </w:r>
            <w:r>
              <w:rPr>
                <w:rFonts w:hint="eastAsia" w:ascii="仿宋_GB2312" w:hAnsi="仿宋_GB2312" w:eastAsia="仿宋_GB2312" w:cs="仿宋_GB2312"/>
                <w:b w:val="0"/>
                <w:bCs w:val="0"/>
                <w:color w:val="auto"/>
                <w:spacing w:val="3"/>
                <w:sz w:val="24"/>
                <w:szCs w:val="24"/>
                <w:lang w:eastAsia="zh-CN"/>
              </w:rPr>
              <w:t>并标明排序</w:t>
            </w:r>
            <w:r>
              <w:rPr>
                <w:rFonts w:hint="eastAsia" w:ascii="仿宋_GB2312" w:hAnsi="仿宋_GB2312" w:eastAsia="仿宋_GB2312" w:cs="仿宋_GB2312"/>
                <w:b w:val="0"/>
                <w:bCs w:val="0"/>
                <w:color w:val="auto"/>
                <w:spacing w:val="3"/>
                <w:sz w:val="24"/>
                <w:szCs w:val="24"/>
              </w:rPr>
              <w:t>。）</w:t>
            </w:r>
          </w:p>
        </w:tc>
      </w:tr>
    </w:tbl>
    <w:p>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pacing w:val="3"/>
          <w:sz w:val="24"/>
          <w:szCs w:val="24"/>
        </w:rPr>
        <w:t>注：本表适用于“评分法”的方式确定中标候选人</w:t>
      </w:r>
      <w:r>
        <w:rPr>
          <w:rFonts w:hint="eastAsia" w:ascii="仿宋_GB2312" w:hAnsi="仿宋_GB2312" w:eastAsia="仿宋_GB2312" w:cs="仿宋_GB2312"/>
          <w:b w:val="0"/>
          <w:bCs w:val="0"/>
          <w:color w:val="auto"/>
          <w:spacing w:val="3"/>
          <w:sz w:val="24"/>
          <w:szCs w:val="24"/>
          <w:lang w:eastAsia="zh-CN"/>
        </w:rPr>
        <w:t>。</w:t>
      </w:r>
    </w:p>
    <w:p>
      <w:pPr>
        <w:adjustRightInd w:val="0"/>
        <w:spacing w:line="240" w:lineRule="auto"/>
        <w:jc w:val="left"/>
        <w:rPr>
          <w:rFonts w:hint="eastAsia" w:eastAsia="宋体"/>
          <w:b w:val="0"/>
          <w:bCs w:val="0"/>
          <w:color w:val="auto"/>
          <w:sz w:val="24"/>
          <w:szCs w:val="24"/>
        </w:rPr>
      </w:pPr>
      <w:r>
        <w:rPr>
          <w:rFonts w:hint="eastAsia" w:ascii="仿宋_GB2312" w:hAnsi="仿宋_GB2312" w:eastAsia="仿宋_GB2312" w:cs="仿宋_GB2312"/>
          <w:b w:val="0"/>
          <w:bCs w:val="0"/>
          <w:color w:val="auto"/>
          <w:sz w:val="24"/>
          <w:szCs w:val="24"/>
        </w:rPr>
        <w:t>定标委员会成员签名：                                            定标监督小组签名：</w:t>
      </w:r>
    </w:p>
    <w:p>
      <w:pPr>
        <w:adjustRightInd w:val="0"/>
        <w:spacing w:line="240" w:lineRule="auto"/>
        <w:jc w:val="center"/>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u w:val="single"/>
        </w:rPr>
        <w:t xml:space="preserve">        </w:t>
      </w:r>
      <w:r>
        <w:rPr>
          <w:rFonts w:hint="eastAsia" w:ascii="方正小标宋简体" w:hAnsi="方正小标宋简体" w:eastAsia="方正小标宋简体" w:cs="方正小标宋简体"/>
          <w:b w:val="0"/>
          <w:bCs w:val="0"/>
          <w:color w:val="auto"/>
          <w:sz w:val="40"/>
          <w:szCs w:val="40"/>
        </w:rPr>
        <w:t>项目定标记名投票表</w:t>
      </w:r>
    </w:p>
    <w:p>
      <w:pPr>
        <w:adjustRightInd w:val="0"/>
        <w:spacing w:line="240" w:lineRule="auto"/>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定标候选人名称：                                 定标时间：                           地点：</w:t>
      </w:r>
    </w:p>
    <w:tbl>
      <w:tblPr>
        <w:tblStyle w:val="8"/>
        <w:tblW w:w="14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1"/>
        <w:gridCol w:w="3619"/>
        <w:gridCol w:w="2868"/>
        <w:gridCol w:w="3414"/>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2281" w:type="dxa"/>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定标因素(根</w:t>
            </w:r>
          </w:p>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1"/>
                <w:sz w:val="24"/>
                <w:szCs w:val="24"/>
              </w:rPr>
              <w:t>据定标方案选</w:t>
            </w:r>
            <w:r>
              <w:rPr>
                <w:rFonts w:hint="eastAsia" w:ascii="仿宋_GB2312" w:hAnsi="仿宋_GB2312" w:eastAsia="仿宋_GB2312" w:cs="仿宋_GB2312"/>
                <w:b w:val="0"/>
                <w:bCs w:val="0"/>
                <w:color w:val="auto"/>
                <w:spacing w:val="-7"/>
                <w:sz w:val="24"/>
                <w:szCs w:val="24"/>
              </w:rPr>
              <w:t>择</w:t>
            </w:r>
            <w:r>
              <w:rPr>
                <w:rFonts w:hint="eastAsia" w:ascii="仿宋_GB2312" w:hAnsi="仿宋_GB2312" w:eastAsia="仿宋_GB2312" w:cs="仿宋_GB2312"/>
                <w:b w:val="0"/>
                <w:bCs w:val="0"/>
                <w:color w:val="auto"/>
                <w:spacing w:val="-57"/>
                <w:sz w:val="24"/>
                <w:szCs w:val="24"/>
              </w:rPr>
              <w:t xml:space="preserve"> </w:t>
            </w:r>
            <w:r>
              <w:rPr>
                <w:rFonts w:hint="eastAsia" w:ascii="仿宋_GB2312" w:hAnsi="仿宋_GB2312" w:eastAsia="仿宋_GB2312" w:cs="仿宋_GB2312"/>
                <w:b w:val="0"/>
                <w:bCs w:val="0"/>
                <w:color w:val="auto"/>
                <w:spacing w:val="-7"/>
                <w:sz w:val="24"/>
                <w:szCs w:val="24"/>
              </w:rPr>
              <w:t>)</w:t>
            </w:r>
          </w:p>
        </w:tc>
        <w:tc>
          <w:tcPr>
            <w:tcW w:w="3619" w:type="dxa"/>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详细</w:t>
            </w:r>
            <w:r>
              <w:rPr>
                <w:rFonts w:hint="eastAsia" w:ascii="仿宋_GB2312" w:hAnsi="仿宋_GB2312" w:eastAsia="仿宋_GB2312" w:cs="仿宋_GB2312"/>
                <w:b w:val="0"/>
                <w:bCs w:val="0"/>
                <w:color w:val="auto"/>
                <w:sz w:val="24"/>
                <w:szCs w:val="24"/>
                <w:lang w:val="en-US" w:eastAsia="zh-CN"/>
              </w:rPr>
              <w:t>评审</w:t>
            </w:r>
            <w:r>
              <w:rPr>
                <w:rFonts w:hint="eastAsia" w:ascii="仿宋_GB2312" w:hAnsi="仿宋_GB2312" w:eastAsia="仿宋_GB2312" w:cs="仿宋_GB2312"/>
                <w:b w:val="0"/>
                <w:bCs w:val="0"/>
                <w:color w:val="auto"/>
                <w:sz w:val="24"/>
                <w:szCs w:val="24"/>
              </w:rPr>
              <w:t>标准</w:t>
            </w:r>
          </w:p>
        </w:tc>
        <w:tc>
          <w:tcPr>
            <w:tcW w:w="28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2"/>
                <w:sz w:val="24"/>
                <w:szCs w:val="24"/>
              </w:rPr>
              <w:t>实际情况记录</w:t>
            </w:r>
          </w:p>
        </w:tc>
        <w:tc>
          <w:tcPr>
            <w:tcW w:w="3414" w:type="dxa"/>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2"/>
                <w:sz w:val="24"/>
                <w:szCs w:val="24"/>
              </w:rPr>
              <w:t>撰写评语</w:t>
            </w:r>
          </w:p>
        </w:tc>
        <w:tc>
          <w:tcPr>
            <w:tcW w:w="1863" w:type="dxa"/>
            <w:vAlign w:val="center"/>
          </w:tcPr>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b w:val="0"/>
                <w:bCs w:val="0"/>
                <w:color w:val="auto"/>
                <w:spacing w:val="7"/>
                <w:sz w:val="24"/>
                <w:szCs w:val="24"/>
              </w:rPr>
            </w:pPr>
            <w:r>
              <w:rPr>
                <w:rFonts w:hint="eastAsia" w:ascii="仿宋_GB2312" w:hAnsi="仿宋_GB2312" w:eastAsia="仿宋_GB2312" w:cs="仿宋_GB2312"/>
                <w:b w:val="0"/>
                <w:bCs w:val="0"/>
                <w:color w:val="auto"/>
                <w:spacing w:val="2"/>
                <w:sz w:val="24"/>
                <w:szCs w:val="24"/>
              </w:rPr>
              <w:t>投票(是否</w:t>
            </w:r>
            <w:r>
              <w:rPr>
                <w:rFonts w:hint="eastAsia" w:ascii="仿宋_GB2312" w:hAnsi="仿宋_GB2312" w:eastAsia="仿宋_GB2312" w:cs="仿宋_GB2312"/>
                <w:b w:val="0"/>
                <w:bCs w:val="0"/>
                <w:color w:val="auto"/>
                <w:spacing w:val="7"/>
                <w:sz w:val="24"/>
                <w:szCs w:val="24"/>
              </w:rPr>
              <w:t>确定</w:t>
            </w:r>
          </w:p>
          <w:p>
            <w:pPr>
              <w:keepNext w:val="0"/>
              <w:keepLines w:val="0"/>
              <w:pageBreakBefore w:val="0"/>
              <w:widowControl/>
              <w:kinsoku w:val="0"/>
              <w:wordWrap/>
              <w:overflowPunct/>
              <w:topLinePunct w:val="0"/>
              <w:autoSpaceDE w:val="0"/>
              <w:autoSpaceDN w:val="0"/>
              <w:bidi w:val="0"/>
              <w:adjustRightInd w:val="0"/>
              <w:snapToGrid w:val="0"/>
              <w:spacing w:line="32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7"/>
                <w:sz w:val="24"/>
                <w:szCs w:val="24"/>
              </w:rPr>
              <w:t>为中</w:t>
            </w:r>
            <w:r>
              <w:rPr>
                <w:rFonts w:hint="eastAsia" w:ascii="仿宋_GB2312" w:hAnsi="仿宋_GB2312" w:eastAsia="仿宋_GB2312" w:cs="仿宋_GB2312"/>
                <w:b w:val="0"/>
                <w:bCs w:val="0"/>
                <w:color w:val="auto"/>
                <w:spacing w:val="18"/>
                <w:sz w:val="24"/>
                <w:szCs w:val="24"/>
              </w:rPr>
              <w:t>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jc w:val="center"/>
        </w:trPr>
        <w:tc>
          <w:tcPr>
            <w:tcW w:w="228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3"/>
                <w:sz w:val="24"/>
                <w:szCs w:val="24"/>
              </w:rPr>
              <w:t>价格因素</w:t>
            </w:r>
          </w:p>
        </w:tc>
        <w:tc>
          <w:tcPr>
            <w:tcW w:w="36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28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34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1863"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2" w:hRule="atLeast"/>
          <w:jc w:val="center"/>
        </w:trPr>
        <w:tc>
          <w:tcPr>
            <w:tcW w:w="228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3"/>
                <w:sz w:val="24"/>
                <w:szCs w:val="24"/>
              </w:rPr>
              <w:t>方案因素</w:t>
            </w:r>
          </w:p>
        </w:tc>
        <w:tc>
          <w:tcPr>
            <w:tcW w:w="36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28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34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186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228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3"/>
                <w:sz w:val="24"/>
                <w:szCs w:val="24"/>
              </w:rPr>
              <w:t>答辩因素</w:t>
            </w:r>
          </w:p>
        </w:tc>
        <w:tc>
          <w:tcPr>
            <w:tcW w:w="36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28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34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186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2" w:hRule="atLeast"/>
          <w:jc w:val="center"/>
        </w:trPr>
        <w:tc>
          <w:tcPr>
            <w:tcW w:w="228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3"/>
                <w:sz w:val="24"/>
                <w:szCs w:val="24"/>
              </w:rPr>
              <w:t>团队因素</w:t>
            </w:r>
          </w:p>
        </w:tc>
        <w:tc>
          <w:tcPr>
            <w:tcW w:w="36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28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34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186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jc w:val="center"/>
        </w:trPr>
        <w:tc>
          <w:tcPr>
            <w:tcW w:w="228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性能因素</w:t>
            </w:r>
          </w:p>
        </w:tc>
        <w:tc>
          <w:tcPr>
            <w:tcW w:w="36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28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34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186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7" w:hRule="atLeast"/>
          <w:jc w:val="center"/>
        </w:trPr>
        <w:tc>
          <w:tcPr>
            <w:tcW w:w="228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资信因素</w:t>
            </w:r>
          </w:p>
        </w:tc>
        <w:tc>
          <w:tcPr>
            <w:tcW w:w="36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28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34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186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9" w:hRule="atLeast"/>
          <w:jc w:val="center"/>
        </w:trPr>
        <w:tc>
          <w:tcPr>
            <w:tcW w:w="228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服务因素</w:t>
            </w:r>
          </w:p>
        </w:tc>
        <w:tc>
          <w:tcPr>
            <w:tcW w:w="36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28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34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186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3" w:hRule="atLeast"/>
          <w:jc w:val="center"/>
        </w:trPr>
        <w:tc>
          <w:tcPr>
            <w:tcW w:w="228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val="0"/>
                <w:bCs w:val="0"/>
                <w:color w:val="auto"/>
                <w:spacing w:val="3"/>
                <w:sz w:val="24"/>
                <w:szCs w:val="24"/>
              </w:rPr>
            </w:pPr>
            <w:r>
              <w:rPr>
                <w:rFonts w:hint="eastAsia" w:ascii="仿宋_GB2312" w:hAnsi="仿宋_GB2312" w:eastAsia="仿宋_GB2312" w:cs="仿宋_GB2312"/>
                <w:b w:val="0"/>
                <w:bCs w:val="0"/>
                <w:color w:val="auto"/>
                <w:spacing w:val="3"/>
                <w:sz w:val="24"/>
                <w:szCs w:val="24"/>
              </w:rPr>
              <w:t>质量目标、安全文明施工目标因素</w:t>
            </w:r>
          </w:p>
        </w:tc>
        <w:tc>
          <w:tcPr>
            <w:tcW w:w="3619"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286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341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eastAsia" w:ascii="仿宋_GB2312" w:hAnsi="仿宋_GB2312" w:eastAsia="仿宋_GB2312" w:cs="仿宋_GB2312"/>
                <w:b w:val="0"/>
                <w:bCs w:val="0"/>
                <w:color w:val="auto"/>
                <w:sz w:val="24"/>
                <w:szCs w:val="24"/>
              </w:rPr>
            </w:pPr>
          </w:p>
        </w:tc>
        <w:tc>
          <w:tcPr>
            <w:tcW w:w="186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_GB2312" w:hAnsi="仿宋_GB2312" w:eastAsia="仿宋_GB2312" w:cs="仿宋_GB2312"/>
                <w:b w:val="0"/>
                <w:bCs w:val="0"/>
                <w:color w:val="auto"/>
                <w:sz w:val="24"/>
                <w:szCs w:val="24"/>
              </w:rPr>
            </w:pPr>
          </w:p>
        </w:tc>
      </w:tr>
    </w:tbl>
    <w:p>
      <w:pPr>
        <w:keepNext w:val="0"/>
        <w:keepLines w:val="0"/>
        <w:pageBreakBefore w:val="0"/>
        <w:wordWrap/>
        <w:overflowPunct/>
        <w:topLinePunct w:val="0"/>
        <w:bidi w:val="0"/>
        <w:adjustRightInd w:val="0"/>
        <w:spacing w:line="320" w:lineRule="exact"/>
        <w:jc w:val="left"/>
        <w:rPr>
          <w:rFonts w:hint="eastAsia" w:ascii="仿宋_GB2312" w:hAnsi="仿宋_GB2312" w:eastAsia="仿宋_GB2312" w:cs="仿宋_GB2312"/>
          <w:b w:val="0"/>
          <w:bCs w:val="0"/>
          <w:color w:val="auto"/>
          <w:spacing w:val="15"/>
          <w:sz w:val="24"/>
          <w:szCs w:val="24"/>
          <w:lang w:eastAsia="zh-CN"/>
        </w:rPr>
      </w:pPr>
      <w:r>
        <w:rPr>
          <w:rFonts w:hint="eastAsia" w:ascii="仿宋_GB2312" w:hAnsi="仿宋_GB2312" w:eastAsia="仿宋_GB2312" w:cs="仿宋_GB2312"/>
          <w:b w:val="0"/>
          <w:bCs w:val="0"/>
          <w:color w:val="auto"/>
          <w:spacing w:val="15"/>
          <w:sz w:val="24"/>
          <w:szCs w:val="24"/>
        </w:rPr>
        <w:t>注：本表适用于“记名投票+撰写评语法”的方式确定中标候选人</w:t>
      </w:r>
      <w:r>
        <w:rPr>
          <w:rFonts w:hint="eastAsia" w:ascii="仿宋_GB2312" w:hAnsi="仿宋_GB2312" w:eastAsia="仿宋_GB2312" w:cs="仿宋_GB2312"/>
          <w:b w:val="0"/>
          <w:bCs w:val="0"/>
          <w:color w:val="auto"/>
          <w:spacing w:val="15"/>
          <w:sz w:val="24"/>
          <w:szCs w:val="24"/>
          <w:lang w:eastAsia="zh-CN"/>
        </w:rPr>
        <w:t>。</w:t>
      </w:r>
    </w:p>
    <w:p>
      <w:pPr>
        <w:keepNext w:val="0"/>
        <w:keepLines w:val="0"/>
        <w:pageBreakBefore w:val="0"/>
        <w:wordWrap/>
        <w:overflowPunct/>
        <w:topLinePunct w:val="0"/>
        <w:bidi w:val="0"/>
        <w:adjustRightInd w:val="0"/>
        <w:spacing w:line="320" w:lineRule="exact"/>
        <w:jc w:val="left"/>
        <w:rPr>
          <w:rFonts w:hint="eastAsia" w:ascii="仿宋_GB2312" w:hAnsi="仿宋_GB2312" w:eastAsia="仿宋_GB2312" w:cs="仿宋_GB2312"/>
          <w:b w:val="0"/>
          <w:bCs w:val="0"/>
          <w:color w:val="auto"/>
          <w:spacing w:val="15"/>
          <w:sz w:val="24"/>
          <w:szCs w:val="24"/>
        </w:rPr>
      </w:pPr>
      <w:r>
        <w:rPr>
          <w:rFonts w:hint="eastAsia" w:ascii="仿宋_GB2312" w:hAnsi="仿宋_GB2312" w:eastAsia="仿宋_GB2312" w:cs="仿宋_GB2312"/>
          <w:b w:val="0"/>
          <w:bCs w:val="0"/>
          <w:color w:val="auto"/>
          <w:spacing w:val="15"/>
          <w:sz w:val="24"/>
          <w:szCs w:val="24"/>
        </w:rPr>
        <w:t>定标委员会成员签名：</w:t>
      </w:r>
    </w:p>
    <w:p>
      <w:pPr>
        <w:widowControl/>
        <w:kinsoku w:val="0"/>
        <w:autoSpaceDE w:val="0"/>
        <w:autoSpaceDN w:val="0"/>
        <w:adjustRightInd w:val="0"/>
        <w:snapToGrid w:val="0"/>
        <w:spacing w:line="240" w:lineRule="auto"/>
        <w:jc w:val="center"/>
        <w:textAlignment w:val="baseline"/>
        <w:rPr>
          <w:rFonts w:hint="eastAsia" w:ascii="方正小标宋简体" w:hAnsi="方正小标宋简体" w:eastAsia="方正小标宋简体" w:cs="方正小标宋简体"/>
          <w:b w:val="0"/>
          <w:bCs w:val="0"/>
          <w:color w:val="auto"/>
          <w:spacing w:val="15"/>
          <w:sz w:val="36"/>
          <w:szCs w:val="36"/>
        </w:rPr>
      </w:pPr>
      <w:r>
        <w:rPr>
          <w:rFonts w:hint="eastAsia" w:eastAsia="宋体"/>
          <w:b w:val="0"/>
          <w:bCs w:val="0"/>
          <w:color w:val="auto"/>
          <w:spacing w:val="15"/>
          <w:sz w:val="26"/>
          <w:szCs w:val="26"/>
        </w:rPr>
        <w:br w:type="page"/>
      </w:r>
      <w:r>
        <w:rPr>
          <w:rFonts w:hint="eastAsia" w:ascii="方正小标宋简体" w:hAnsi="方正小标宋简体" w:eastAsia="方正小标宋简体" w:cs="方正小标宋简体"/>
          <w:b w:val="0"/>
          <w:bCs w:val="0"/>
          <w:color w:val="auto"/>
          <w:sz w:val="40"/>
          <w:szCs w:val="40"/>
          <w:u w:val="single"/>
        </w:rPr>
        <w:t xml:space="preserve">            </w:t>
      </w:r>
      <w:r>
        <w:rPr>
          <w:rFonts w:hint="eastAsia" w:ascii="方正小标宋简体" w:hAnsi="方正小标宋简体" w:eastAsia="方正小标宋简体" w:cs="方正小标宋简体"/>
          <w:b w:val="0"/>
          <w:bCs w:val="0"/>
          <w:color w:val="auto"/>
          <w:spacing w:val="-11"/>
          <w:sz w:val="40"/>
          <w:szCs w:val="40"/>
        </w:rPr>
        <w:t>项目定标记名投票汇总表</w:t>
      </w:r>
    </w:p>
    <w:p>
      <w:pPr>
        <w:adjustRightInd w:val="0"/>
        <w:spacing w:line="240" w:lineRule="auto"/>
        <w:jc w:val="left"/>
        <w:rPr>
          <w:rFonts w:hint="eastAsia" w:ascii="仿宋_GB2312" w:hAnsi="仿宋_GB2312" w:eastAsia="仿宋_GB2312" w:cs="仿宋_GB2312"/>
          <w:b w:val="0"/>
          <w:bCs w:val="0"/>
          <w:color w:val="auto"/>
          <w:spacing w:val="15"/>
          <w:sz w:val="24"/>
          <w:szCs w:val="24"/>
        </w:rPr>
      </w:pPr>
      <w:r>
        <w:rPr>
          <w:rFonts w:hint="eastAsia" w:ascii="仿宋_GB2312" w:hAnsi="仿宋_GB2312" w:eastAsia="仿宋_GB2312" w:cs="仿宋_GB2312"/>
          <w:b w:val="0"/>
          <w:bCs w:val="0"/>
          <w:color w:val="auto"/>
          <w:sz w:val="24"/>
          <w:szCs w:val="24"/>
        </w:rPr>
        <w:t xml:space="preserve">  定标时间：                                                                      地点：</w:t>
      </w:r>
    </w:p>
    <w:tbl>
      <w:tblPr>
        <w:tblStyle w:val="8"/>
        <w:tblW w:w="1319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1279"/>
        <w:gridCol w:w="1409"/>
        <w:gridCol w:w="1399"/>
        <w:gridCol w:w="1279"/>
        <w:gridCol w:w="1279"/>
        <w:gridCol w:w="1269"/>
        <w:gridCol w:w="1289"/>
        <w:gridCol w:w="2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7" w:hRule="atLeast"/>
          <w:jc w:val="center"/>
        </w:trPr>
        <w:tc>
          <w:tcPr>
            <w:tcW w:w="1373"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2"/>
                <w:sz w:val="24"/>
                <w:szCs w:val="24"/>
              </w:rPr>
              <w:t>定标候选</w:t>
            </w:r>
          </w:p>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4"/>
                <w:sz w:val="24"/>
                <w:szCs w:val="24"/>
              </w:rPr>
              <w:t>人名称</w:t>
            </w: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pacing w:val="2"/>
                <w:sz w:val="24"/>
                <w:szCs w:val="24"/>
              </w:rPr>
            </w:pPr>
            <w:r>
              <w:rPr>
                <w:rFonts w:hint="eastAsia" w:ascii="仿宋_GB2312" w:hAnsi="仿宋_GB2312" w:eastAsia="仿宋_GB2312" w:cs="仿宋_GB2312"/>
                <w:b w:val="0"/>
                <w:bCs w:val="0"/>
                <w:color w:val="auto"/>
                <w:spacing w:val="2"/>
                <w:sz w:val="24"/>
                <w:szCs w:val="24"/>
              </w:rPr>
              <w:t>定标委员</w:t>
            </w:r>
          </w:p>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2"/>
                <w:sz w:val="24"/>
                <w:szCs w:val="24"/>
              </w:rPr>
              <w:t>会成员</w:t>
            </w:r>
          </w:p>
        </w:tc>
        <w:tc>
          <w:tcPr>
            <w:tcW w:w="140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8"/>
                <w:sz w:val="24"/>
                <w:szCs w:val="24"/>
              </w:rPr>
              <w:t>定标委员</w:t>
            </w:r>
          </w:p>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11"/>
                <w:sz w:val="24"/>
                <w:szCs w:val="24"/>
              </w:rPr>
              <w:t>会成员</w:t>
            </w:r>
          </w:p>
        </w:tc>
        <w:tc>
          <w:tcPr>
            <w:tcW w:w="139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8"/>
                <w:sz w:val="24"/>
                <w:szCs w:val="24"/>
              </w:rPr>
              <w:t>定标委员</w:t>
            </w:r>
          </w:p>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11"/>
                <w:sz w:val="24"/>
                <w:szCs w:val="24"/>
              </w:rPr>
              <w:t>会成员</w:t>
            </w: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pacing w:val="8"/>
                <w:sz w:val="24"/>
                <w:szCs w:val="24"/>
              </w:rPr>
            </w:pPr>
            <w:r>
              <w:rPr>
                <w:rFonts w:hint="eastAsia" w:ascii="仿宋_GB2312" w:hAnsi="仿宋_GB2312" w:eastAsia="仿宋_GB2312" w:cs="仿宋_GB2312"/>
                <w:b w:val="0"/>
                <w:bCs w:val="0"/>
                <w:color w:val="auto"/>
                <w:spacing w:val="8"/>
                <w:sz w:val="24"/>
                <w:szCs w:val="24"/>
              </w:rPr>
              <w:t>定标委员</w:t>
            </w:r>
          </w:p>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pacing w:val="8"/>
                <w:sz w:val="24"/>
                <w:szCs w:val="24"/>
              </w:rPr>
            </w:pPr>
            <w:r>
              <w:rPr>
                <w:rFonts w:hint="eastAsia" w:ascii="仿宋_GB2312" w:hAnsi="仿宋_GB2312" w:eastAsia="仿宋_GB2312" w:cs="仿宋_GB2312"/>
                <w:b w:val="0"/>
                <w:bCs w:val="0"/>
                <w:color w:val="auto"/>
                <w:spacing w:val="8"/>
                <w:sz w:val="24"/>
                <w:szCs w:val="24"/>
              </w:rPr>
              <w:t>会成员</w:t>
            </w: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pacing w:val="8"/>
                <w:sz w:val="24"/>
                <w:szCs w:val="24"/>
              </w:rPr>
            </w:pPr>
            <w:r>
              <w:rPr>
                <w:rFonts w:hint="eastAsia" w:ascii="仿宋_GB2312" w:hAnsi="仿宋_GB2312" w:eastAsia="仿宋_GB2312" w:cs="仿宋_GB2312"/>
                <w:b w:val="0"/>
                <w:bCs w:val="0"/>
                <w:color w:val="auto"/>
                <w:spacing w:val="8"/>
                <w:sz w:val="24"/>
                <w:szCs w:val="24"/>
              </w:rPr>
              <w:t>定标委员</w:t>
            </w:r>
          </w:p>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pacing w:val="8"/>
                <w:sz w:val="24"/>
                <w:szCs w:val="24"/>
              </w:rPr>
            </w:pPr>
            <w:r>
              <w:rPr>
                <w:rFonts w:hint="eastAsia" w:ascii="仿宋_GB2312" w:hAnsi="仿宋_GB2312" w:eastAsia="仿宋_GB2312" w:cs="仿宋_GB2312"/>
                <w:b w:val="0"/>
                <w:bCs w:val="0"/>
                <w:color w:val="auto"/>
                <w:spacing w:val="8"/>
                <w:sz w:val="24"/>
                <w:szCs w:val="24"/>
              </w:rPr>
              <w:t>会成员</w:t>
            </w:r>
          </w:p>
        </w:tc>
        <w:tc>
          <w:tcPr>
            <w:tcW w:w="126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8"/>
                <w:sz w:val="24"/>
                <w:szCs w:val="24"/>
              </w:rPr>
              <w:t>定标委员</w:t>
            </w:r>
          </w:p>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11"/>
                <w:sz w:val="24"/>
                <w:szCs w:val="24"/>
              </w:rPr>
              <w:t>会成员</w:t>
            </w:r>
          </w:p>
        </w:tc>
        <w:tc>
          <w:tcPr>
            <w:tcW w:w="128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pacing w:val="8"/>
                <w:sz w:val="24"/>
                <w:szCs w:val="24"/>
              </w:rPr>
            </w:pPr>
            <w:r>
              <w:rPr>
                <w:rFonts w:hint="eastAsia" w:ascii="仿宋_GB2312" w:hAnsi="仿宋_GB2312" w:eastAsia="仿宋_GB2312" w:cs="仿宋_GB2312"/>
                <w:b w:val="0"/>
                <w:bCs w:val="0"/>
                <w:color w:val="auto"/>
                <w:spacing w:val="8"/>
                <w:sz w:val="24"/>
                <w:szCs w:val="24"/>
              </w:rPr>
              <w:t>定标委员</w:t>
            </w:r>
          </w:p>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pacing w:val="8"/>
                <w:sz w:val="24"/>
                <w:szCs w:val="24"/>
              </w:rPr>
            </w:pPr>
            <w:r>
              <w:rPr>
                <w:rFonts w:hint="eastAsia" w:ascii="仿宋_GB2312" w:hAnsi="仿宋_GB2312" w:eastAsia="仿宋_GB2312" w:cs="仿宋_GB2312"/>
                <w:b w:val="0"/>
                <w:bCs w:val="0"/>
                <w:color w:val="auto"/>
                <w:spacing w:val="8"/>
                <w:sz w:val="24"/>
                <w:szCs w:val="24"/>
              </w:rPr>
              <w:t>会成员</w:t>
            </w:r>
          </w:p>
        </w:tc>
        <w:tc>
          <w:tcPr>
            <w:tcW w:w="2623"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pacing w:val="8"/>
                <w:sz w:val="24"/>
                <w:szCs w:val="24"/>
              </w:rPr>
            </w:pPr>
            <w:r>
              <w:rPr>
                <w:rFonts w:hint="eastAsia" w:ascii="仿宋_GB2312" w:hAnsi="仿宋_GB2312" w:eastAsia="仿宋_GB2312" w:cs="仿宋_GB2312"/>
                <w:b w:val="0"/>
                <w:bCs w:val="0"/>
                <w:color w:val="auto"/>
                <w:spacing w:val="8"/>
                <w:sz w:val="24"/>
                <w:szCs w:val="24"/>
              </w:rPr>
              <w:t>获得确定为中标人的</w:t>
            </w:r>
          </w:p>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pacing w:val="8"/>
                <w:sz w:val="24"/>
                <w:szCs w:val="24"/>
              </w:rPr>
            </w:pPr>
            <w:r>
              <w:rPr>
                <w:rFonts w:hint="eastAsia" w:ascii="仿宋_GB2312" w:hAnsi="仿宋_GB2312" w:eastAsia="仿宋_GB2312" w:cs="仿宋_GB2312"/>
                <w:b w:val="0"/>
                <w:bCs w:val="0"/>
                <w:color w:val="auto"/>
                <w:spacing w:val="8"/>
                <w:sz w:val="24"/>
                <w:szCs w:val="24"/>
              </w:rPr>
              <w:t>合计得票数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jc w:val="center"/>
        </w:trPr>
        <w:tc>
          <w:tcPr>
            <w:tcW w:w="1373"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40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39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6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8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2623"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jc w:val="center"/>
        </w:trPr>
        <w:tc>
          <w:tcPr>
            <w:tcW w:w="1373"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40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39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6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8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2623"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jc w:val="center"/>
        </w:trPr>
        <w:tc>
          <w:tcPr>
            <w:tcW w:w="1373"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40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39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6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8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2623"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jc w:val="center"/>
        </w:trPr>
        <w:tc>
          <w:tcPr>
            <w:tcW w:w="1373"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40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39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6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8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2623"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jc w:val="center"/>
        </w:trPr>
        <w:tc>
          <w:tcPr>
            <w:tcW w:w="1373"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40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39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6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8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2623"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jc w:val="center"/>
        </w:trPr>
        <w:tc>
          <w:tcPr>
            <w:tcW w:w="1373"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40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39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7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6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1289"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c>
          <w:tcPr>
            <w:tcW w:w="2623" w:type="dxa"/>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jc w:val="center"/>
        </w:trPr>
        <w:tc>
          <w:tcPr>
            <w:tcW w:w="13199" w:type="dxa"/>
            <w:gridSpan w:val="9"/>
            <w:vAlign w:val="center"/>
          </w:tcPr>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1"/>
                <w:sz w:val="24"/>
                <w:szCs w:val="24"/>
              </w:rPr>
              <w:t>定标结论：(说明票数及理由，定标委员会根据定标办法X条X款，确定XX公司为中标候选人并标明排序。)</w:t>
            </w:r>
          </w:p>
        </w:tc>
      </w:tr>
    </w:tbl>
    <w:p>
      <w:pPr>
        <w:widowControl/>
        <w:kinsoku w:val="0"/>
        <w:autoSpaceDE w:val="0"/>
        <w:autoSpaceDN w:val="0"/>
        <w:adjustRightInd w:val="0"/>
        <w:snapToGrid w:val="0"/>
        <w:spacing w:line="240" w:lineRule="auto"/>
        <w:textAlignment w:val="baseline"/>
        <w:rPr>
          <w:rFonts w:hint="eastAsia" w:ascii="仿宋_GB2312" w:hAnsi="仿宋_GB2312" w:eastAsia="仿宋_GB2312" w:cs="仿宋_GB2312"/>
          <w:b w:val="0"/>
          <w:bCs w:val="0"/>
          <w:color w:val="auto"/>
          <w:spacing w:val="-12"/>
          <w:sz w:val="24"/>
          <w:szCs w:val="24"/>
        </w:rPr>
      </w:pPr>
      <w:r>
        <w:rPr>
          <w:rFonts w:hint="eastAsia" w:ascii="仿宋_GB2312" w:hAnsi="仿宋_GB2312" w:eastAsia="仿宋_GB2312" w:cs="仿宋_GB2312"/>
          <w:b w:val="0"/>
          <w:bCs w:val="0"/>
          <w:color w:val="auto"/>
          <w:spacing w:val="-12"/>
          <w:sz w:val="24"/>
          <w:szCs w:val="24"/>
        </w:rPr>
        <w:t>注：本表适用于“记名投票+撰写评语法”的方式确定中标候选人。</w:t>
      </w:r>
    </w:p>
    <w:p>
      <w:pPr>
        <w:adjustRightInd w:val="0"/>
        <w:spacing w:line="240" w:lineRule="auto"/>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定标委员会成员签名：                                            定标监督小组签名：</w:t>
      </w:r>
    </w:p>
    <w:p>
      <w:pPr>
        <w:widowControl/>
        <w:kinsoku w:val="0"/>
        <w:autoSpaceDE w:val="0"/>
        <w:autoSpaceDN w:val="0"/>
        <w:adjustRightInd w:val="0"/>
        <w:snapToGrid w:val="0"/>
        <w:spacing w:line="240" w:lineRule="auto"/>
        <w:textAlignment w:val="baseline"/>
        <w:rPr>
          <w:rFonts w:hint="eastAsia" w:ascii="仿宋_GB2312" w:hAnsi="仿宋_GB2312" w:eastAsia="仿宋_GB2312" w:cs="仿宋_GB2312"/>
          <w:b w:val="0"/>
          <w:bCs w:val="0"/>
          <w:color w:val="auto"/>
          <w:spacing w:val="15"/>
          <w:sz w:val="24"/>
          <w:szCs w:val="24"/>
        </w:rPr>
      </w:pPr>
    </w:p>
    <w:p>
      <w:pPr>
        <w:widowControl/>
        <w:kinsoku w:val="0"/>
        <w:autoSpaceDE w:val="0"/>
        <w:autoSpaceDN w:val="0"/>
        <w:adjustRightInd w:val="0"/>
        <w:snapToGrid w:val="0"/>
        <w:spacing w:line="240" w:lineRule="auto"/>
        <w:textAlignment w:val="baseline"/>
        <w:rPr>
          <w:rFonts w:hint="eastAsia" w:ascii="黑体" w:hAnsi="黑体" w:eastAsia="黑体" w:cs="黑体"/>
          <w:sz w:val="28"/>
          <w:szCs w:val="28"/>
        </w:rPr>
      </w:pPr>
    </w:p>
    <w:p>
      <w:pPr>
        <w:widowControl/>
        <w:kinsoku w:val="0"/>
        <w:autoSpaceDE w:val="0"/>
        <w:autoSpaceDN w:val="0"/>
        <w:adjustRightInd w:val="0"/>
        <w:snapToGrid w:val="0"/>
        <w:spacing w:line="240" w:lineRule="auto"/>
        <w:textAlignment w:val="baseline"/>
        <w:rPr>
          <w:rFonts w:hint="eastAsia" w:ascii="黑体" w:hAnsi="黑体" w:eastAsia="黑体" w:cs="黑体"/>
          <w:sz w:val="28"/>
          <w:szCs w:val="28"/>
        </w:rPr>
      </w:pPr>
    </w:p>
    <w:p>
      <w:pPr>
        <w:widowControl/>
        <w:kinsoku w:val="0"/>
        <w:autoSpaceDE w:val="0"/>
        <w:autoSpaceDN w:val="0"/>
        <w:adjustRightInd w:val="0"/>
        <w:snapToGrid w:val="0"/>
        <w:spacing w:line="240" w:lineRule="auto"/>
        <w:textAlignment w:val="baseline"/>
        <w:rPr>
          <w:rFonts w:ascii="仿宋" w:hAnsi="仿宋" w:eastAsia="仿宋" w:cs="仿宋"/>
          <w:sz w:val="26"/>
          <w:szCs w:val="26"/>
        </w:rPr>
      </w:pPr>
      <w:r>
        <w:rPr>
          <w:rFonts w:hint="eastAsia" w:ascii="黑体" w:hAnsi="黑体" w:eastAsia="黑体" w:cs="黑体"/>
          <w:sz w:val="28"/>
          <w:szCs w:val="28"/>
        </w:rPr>
        <w:t>(注：定标委员会撰写)</w:t>
      </w:r>
    </w:p>
    <w:p>
      <w:pPr>
        <w:widowControl/>
        <w:kinsoku w:val="0"/>
        <w:autoSpaceDE w:val="0"/>
        <w:autoSpaceDN w:val="0"/>
        <w:adjustRightInd w:val="0"/>
        <w:snapToGrid w:val="0"/>
        <w:spacing w:line="240" w:lineRule="auto"/>
        <w:textAlignment w:val="baseline"/>
        <w:rPr>
          <w:rFonts w:ascii="Arial"/>
          <w:sz w:val="21"/>
        </w:rPr>
      </w:pPr>
    </w:p>
    <w:p>
      <w:pPr>
        <w:widowControl/>
        <w:kinsoku w:val="0"/>
        <w:autoSpaceDE w:val="0"/>
        <w:autoSpaceDN w:val="0"/>
        <w:adjustRightInd w:val="0"/>
        <w:snapToGrid w:val="0"/>
        <w:spacing w:line="240" w:lineRule="auto"/>
        <w:jc w:val="center"/>
        <w:textAlignment w:val="baseline"/>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u w:val="single"/>
        </w:rPr>
        <w:t xml:space="preserve">           </w:t>
      </w:r>
      <w:r>
        <w:rPr>
          <w:rFonts w:hint="eastAsia" w:ascii="方正小标宋简体" w:hAnsi="方正小标宋简体" w:eastAsia="方正小标宋简体" w:cs="方正小标宋简体"/>
          <w:sz w:val="40"/>
          <w:szCs w:val="40"/>
        </w:rPr>
        <w:t>项目定标报告</w:t>
      </w:r>
    </w:p>
    <w:p>
      <w:pPr>
        <w:widowControl/>
        <w:kinsoku w:val="0"/>
        <w:autoSpaceDE w:val="0"/>
        <w:autoSpaceDN w:val="0"/>
        <w:adjustRightInd w:val="0"/>
        <w:snapToGrid w:val="0"/>
        <w:spacing w:line="240" w:lineRule="auto"/>
        <w:textAlignment w:val="baseline"/>
        <w:rPr>
          <w:rFonts w:hint="eastAsia" w:eastAsia="宋体"/>
          <w:spacing w:val="-14"/>
          <w:sz w:val="32"/>
          <w:szCs w:val="32"/>
        </w:rPr>
      </w:pPr>
    </w:p>
    <w:p>
      <w:pPr>
        <w:widowControl/>
        <w:kinsoku w:val="0"/>
        <w:autoSpaceDE w:val="0"/>
        <w:autoSpaceDN w:val="0"/>
        <w:adjustRightInd w:val="0"/>
        <w:snapToGrid w:val="0"/>
        <w:spacing w:line="240" w:lineRule="auto"/>
        <w:textAlignment w:val="baseline"/>
        <w:rPr>
          <w:rFonts w:hint="eastAsia" w:ascii="仿宋_GB2312" w:hAnsi="仿宋_GB2312" w:eastAsia="仿宋_GB2312" w:cs="仿宋_GB2312"/>
          <w:spacing w:val="-14"/>
          <w:sz w:val="24"/>
          <w:szCs w:val="24"/>
        </w:rPr>
      </w:pPr>
      <w:r>
        <w:rPr>
          <w:rFonts w:hint="eastAsia" w:ascii="仿宋_GB2312" w:hAnsi="仿宋_GB2312" w:eastAsia="仿宋_GB2312" w:cs="仿宋_GB2312"/>
          <w:spacing w:val="-14"/>
          <w:sz w:val="24"/>
          <w:szCs w:val="24"/>
        </w:rPr>
        <w:t>(包括：定标时间、所有定标候选人的评分结果或票数及理由、中标</w:t>
      </w:r>
      <w:r>
        <w:rPr>
          <w:rFonts w:hint="eastAsia" w:ascii="仿宋_GB2312" w:hAnsi="仿宋_GB2312" w:eastAsia="仿宋_GB2312" w:cs="仿宋_GB2312"/>
          <w:spacing w:val="-14"/>
          <w:sz w:val="24"/>
          <w:szCs w:val="24"/>
          <w:lang w:eastAsia="zh-CN"/>
        </w:rPr>
        <w:t>候选</w:t>
      </w:r>
      <w:r>
        <w:rPr>
          <w:rFonts w:hint="eastAsia" w:ascii="仿宋_GB2312" w:hAnsi="仿宋_GB2312" w:eastAsia="仿宋_GB2312" w:cs="仿宋_GB2312"/>
          <w:spacing w:val="-14"/>
          <w:sz w:val="24"/>
          <w:szCs w:val="24"/>
        </w:rPr>
        <w:t>人等内容)</w:t>
      </w:r>
    </w:p>
    <w:p>
      <w:pPr>
        <w:widowControl/>
        <w:kinsoku w:val="0"/>
        <w:autoSpaceDE w:val="0"/>
        <w:autoSpaceDN w:val="0"/>
        <w:adjustRightInd w:val="0"/>
        <w:snapToGrid w:val="0"/>
        <w:spacing w:line="240" w:lineRule="auto"/>
        <w:textAlignment w:val="baseline"/>
        <w:rPr>
          <w:rFonts w:hint="eastAsia" w:ascii="仿宋_GB2312" w:hAnsi="仿宋_GB2312" w:eastAsia="仿宋_GB2312" w:cs="仿宋_GB2312"/>
          <w:spacing w:val="-14"/>
          <w:sz w:val="24"/>
          <w:szCs w:val="24"/>
        </w:rPr>
      </w:pPr>
    </w:p>
    <w:p>
      <w:pPr>
        <w:widowControl/>
        <w:kinsoku w:val="0"/>
        <w:autoSpaceDE w:val="0"/>
        <w:autoSpaceDN w:val="0"/>
        <w:adjustRightInd w:val="0"/>
        <w:snapToGrid w:val="0"/>
        <w:spacing w:line="240" w:lineRule="auto"/>
        <w:textAlignment w:val="baseline"/>
        <w:rPr>
          <w:rFonts w:hint="eastAsia" w:ascii="仿宋_GB2312" w:hAnsi="仿宋_GB2312" w:eastAsia="仿宋_GB2312" w:cs="仿宋_GB2312"/>
          <w:spacing w:val="-14"/>
          <w:sz w:val="24"/>
          <w:szCs w:val="24"/>
        </w:rPr>
      </w:pPr>
    </w:p>
    <w:p>
      <w:pPr>
        <w:widowControl/>
        <w:kinsoku w:val="0"/>
        <w:autoSpaceDE w:val="0"/>
        <w:autoSpaceDN w:val="0"/>
        <w:adjustRightInd w:val="0"/>
        <w:snapToGrid w:val="0"/>
        <w:spacing w:line="240" w:lineRule="auto"/>
        <w:textAlignment w:val="baseline"/>
        <w:rPr>
          <w:rFonts w:hint="eastAsia" w:ascii="仿宋_GB2312" w:hAnsi="仿宋_GB2312" w:eastAsia="仿宋_GB2312" w:cs="仿宋_GB2312"/>
          <w:spacing w:val="-14"/>
          <w:sz w:val="24"/>
          <w:szCs w:val="24"/>
        </w:rPr>
      </w:pPr>
    </w:p>
    <w:p>
      <w:pPr>
        <w:widowControl/>
        <w:kinsoku w:val="0"/>
        <w:autoSpaceDE w:val="0"/>
        <w:autoSpaceDN w:val="0"/>
        <w:adjustRightInd w:val="0"/>
        <w:snapToGrid w:val="0"/>
        <w:spacing w:line="240" w:lineRule="auto"/>
        <w:textAlignment w:val="baseline"/>
        <w:rPr>
          <w:rFonts w:hint="eastAsia" w:ascii="仿宋_GB2312" w:hAnsi="仿宋_GB2312" w:eastAsia="仿宋_GB2312" w:cs="仿宋_GB2312"/>
          <w:spacing w:val="-14"/>
          <w:sz w:val="24"/>
          <w:szCs w:val="24"/>
        </w:rPr>
      </w:pPr>
    </w:p>
    <w:p>
      <w:pPr>
        <w:widowControl/>
        <w:kinsoku w:val="0"/>
        <w:autoSpaceDE w:val="0"/>
        <w:autoSpaceDN w:val="0"/>
        <w:adjustRightInd w:val="0"/>
        <w:snapToGrid w:val="0"/>
        <w:spacing w:line="240" w:lineRule="auto"/>
        <w:textAlignment w:val="baseline"/>
        <w:rPr>
          <w:rFonts w:hint="eastAsia" w:ascii="仿宋_GB2312" w:hAnsi="仿宋_GB2312" w:eastAsia="仿宋_GB2312" w:cs="仿宋_GB2312"/>
          <w:spacing w:val="-14"/>
          <w:sz w:val="24"/>
          <w:szCs w:val="24"/>
        </w:rPr>
      </w:pPr>
    </w:p>
    <w:p>
      <w:pPr>
        <w:widowControl/>
        <w:kinsoku w:val="0"/>
        <w:autoSpaceDE w:val="0"/>
        <w:autoSpaceDN w:val="0"/>
        <w:adjustRightInd w:val="0"/>
        <w:snapToGrid w:val="0"/>
        <w:spacing w:line="240" w:lineRule="auto"/>
        <w:textAlignment w:val="baseline"/>
        <w:rPr>
          <w:rFonts w:hint="eastAsia" w:ascii="仿宋_GB2312" w:hAnsi="仿宋_GB2312" w:eastAsia="仿宋_GB2312" w:cs="仿宋_GB2312"/>
          <w:spacing w:val="-14"/>
          <w:sz w:val="24"/>
          <w:szCs w:val="24"/>
        </w:rPr>
      </w:pPr>
    </w:p>
    <w:p>
      <w:pPr>
        <w:widowControl/>
        <w:kinsoku w:val="0"/>
        <w:autoSpaceDE w:val="0"/>
        <w:autoSpaceDN w:val="0"/>
        <w:adjustRightInd w:val="0"/>
        <w:snapToGrid w:val="0"/>
        <w:spacing w:line="240" w:lineRule="auto"/>
        <w:textAlignment w:val="baseline"/>
        <w:rPr>
          <w:rFonts w:hint="eastAsia" w:ascii="仿宋_GB2312" w:hAnsi="仿宋_GB2312" w:eastAsia="仿宋_GB2312" w:cs="仿宋_GB2312"/>
          <w:spacing w:val="-14"/>
          <w:sz w:val="24"/>
          <w:szCs w:val="24"/>
        </w:rPr>
      </w:pPr>
    </w:p>
    <w:p>
      <w:pPr>
        <w:widowControl/>
        <w:kinsoku w:val="0"/>
        <w:autoSpaceDE w:val="0"/>
        <w:autoSpaceDN w:val="0"/>
        <w:adjustRightInd w:val="0"/>
        <w:snapToGrid w:val="0"/>
        <w:spacing w:line="240" w:lineRule="auto"/>
        <w:textAlignment w:val="baseline"/>
        <w:rPr>
          <w:rFonts w:hint="eastAsia" w:ascii="仿宋_GB2312" w:hAnsi="仿宋_GB2312" w:eastAsia="仿宋_GB2312" w:cs="仿宋_GB2312"/>
          <w:spacing w:val="-14"/>
          <w:sz w:val="24"/>
          <w:szCs w:val="24"/>
        </w:rPr>
      </w:pPr>
    </w:p>
    <w:p>
      <w:pPr>
        <w:widowControl/>
        <w:kinsoku w:val="0"/>
        <w:autoSpaceDE w:val="0"/>
        <w:autoSpaceDN w:val="0"/>
        <w:adjustRightInd w:val="0"/>
        <w:snapToGrid w:val="0"/>
        <w:spacing w:line="240" w:lineRule="auto"/>
        <w:textAlignment w:val="baseline"/>
        <w:rPr>
          <w:rFonts w:hint="eastAsia" w:ascii="仿宋_GB2312" w:hAnsi="仿宋_GB2312" w:eastAsia="仿宋_GB2312" w:cs="仿宋_GB2312"/>
          <w:spacing w:val="-14"/>
          <w:sz w:val="24"/>
          <w:szCs w:val="24"/>
        </w:rPr>
      </w:pPr>
    </w:p>
    <w:p>
      <w:pPr>
        <w:widowControl/>
        <w:kinsoku w:val="0"/>
        <w:autoSpaceDE w:val="0"/>
        <w:autoSpaceDN w:val="0"/>
        <w:adjustRightInd w:val="0"/>
        <w:snapToGrid w:val="0"/>
        <w:spacing w:line="240" w:lineRule="auto"/>
        <w:textAlignment w:val="baseline"/>
        <w:rPr>
          <w:rFonts w:hint="eastAsia" w:ascii="仿宋_GB2312" w:hAnsi="仿宋_GB2312" w:eastAsia="仿宋_GB2312" w:cs="仿宋_GB2312"/>
          <w:spacing w:val="-14"/>
          <w:sz w:val="24"/>
          <w:szCs w:val="24"/>
        </w:rPr>
      </w:pPr>
    </w:p>
    <w:p>
      <w:pPr>
        <w:widowControl/>
        <w:kinsoku w:val="0"/>
        <w:autoSpaceDE w:val="0"/>
        <w:autoSpaceDN w:val="0"/>
        <w:adjustRightInd w:val="0"/>
        <w:snapToGrid w:val="0"/>
        <w:spacing w:line="240" w:lineRule="auto"/>
        <w:textAlignment w:val="baseline"/>
        <w:rPr>
          <w:rFonts w:hint="eastAsia" w:ascii="仿宋_GB2312" w:hAnsi="仿宋_GB2312" w:eastAsia="仿宋_GB2312" w:cs="仿宋_GB2312"/>
          <w:spacing w:val="-14"/>
          <w:sz w:val="24"/>
          <w:szCs w:val="24"/>
        </w:rPr>
      </w:pPr>
    </w:p>
    <w:p>
      <w:pPr>
        <w:widowControl/>
        <w:kinsoku w:val="0"/>
        <w:autoSpaceDE w:val="0"/>
        <w:autoSpaceDN w:val="0"/>
        <w:adjustRightInd w:val="0"/>
        <w:snapToGrid w:val="0"/>
        <w:spacing w:line="240" w:lineRule="auto"/>
        <w:textAlignment w:val="baseline"/>
        <w:rPr>
          <w:rFonts w:hint="eastAsia"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定标委员会成员签名：</w:t>
      </w:r>
    </w:p>
    <w:p>
      <w:pPr>
        <w:widowControl/>
        <w:kinsoku w:val="0"/>
        <w:autoSpaceDE w:val="0"/>
        <w:autoSpaceDN w:val="0"/>
        <w:adjustRightInd w:val="0"/>
        <w:snapToGrid w:val="0"/>
        <w:spacing w:line="240" w:lineRule="auto"/>
        <w:ind w:firstLine="8500" w:firstLineChars="3400"/>
        <w:textAlignment w:val="baseline"/>
        <w:rPr>
          <w:rFonts w:hint="eastAsia" w:ascii="仿宋_GB2312" w:hAnsi="仿宋_GB2312" w:eastAsia="仿宋_GB2312" w:cs="仿宋_GB2312"/>
          <w:spacing w:val="7"/>
          <w:sz w:val="24"/>
          <w:szCs w:val="24"/>
        </w:rPr>
      </w:pPr>
      <w:r>
        <w:rPr>
          <w:rFonts w:hint="eastAsia" w:ascii="仿宋_GB2312" w:hAnsi="仿宋_GB2312" w:eastAsia="仿宋_GB2312" w:cs="仿宋_GB2312"/>
          <w:spacing w:val="7"/>
          <w:sz w:val="24"/>
          <w:szCs w:val="24"/>
        </w:rPr>
        <w:t>XXXXXX 项目定标委员会</w:t>
      </w:r>
    </w:p>
    <w:p>
      <w:pPr>
        <w:widowControl/>
        <w:kinsoku w:val="0"/>
        <w:autoSpaceDE w:val="0"/>
        <w:autoSpaceDN w:val="0"/>
        <w:adjustRightInd w:val="0"/>
        <w:snapToGrid w:val="0"/>
        <w:spacing w:line="240" w:lineRule="auto"/>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pacing w:val="-16"/>
          <w:sz w:val="24"/>
          <w:szCs w:val="24"/>
        </w:rPr>
        <w:t xml:space="preserve">                                                                          XX</w:t>
      </w:r>
      <w:r>
        <w:rPr>
          <w:rFonts w:hint="eastAsia" w:ascii="仿宋_GB2312" w:hAnsi="仿宋_GB2312" w:eastAsia="仿宋_GB2312" w:cs="仿宋_GB2312"/>
          <w:spacing w:val="-23"/>
          <w:sz w:val="24"/>
          <w:szCs w:val="24"/>
        </w:rPr>
        <w:t xml:space="preserve"> </w:t>
      </w:r>
      <w:r>
        <w:rPr>
          <w:rFonts w:hint="eastAsia" w:ascii="仿宋_GB2312" w:hAnsi="仿宋_GB2312" w:eastAsia="仿宋_GB2312" w:cs="仿宋_GB2312"/>
          <w:spacing w:val="-16"/>
          <w:sz w:val="24"/>
          <w:szCs w:val="24"/>
        </w:rPr>
        <w:t>年</w:t>
      </w:r>
      <w:r>
        <w:rPr>
          <w:rFonts w:hint="eastAsia" w:ascii="仿宋_GB2312" w:hAnsi="仿宋_GB2312" w:eastAsia="仿宋_GB2312" w:cs="仿宋_GB2312"/>
          <w:spacing w:val="-38"/>
          <w:sz w:val="24"/>
          <w:szCs w:val="24"/>
        </w:rPr>
        <w:t xml:space="preserve"> </w:t>
      </w:r>
      <w:r>
        <w:rPr>
          <w:rFonts w:hint="eastAsia" w:ascii="仿宋_GB2312" w:hAnsi="仿宋_GB2312" w:eastAsia="仿宋_GB2312" w:cs="仿宋_GB2312"/>
          <w:spacing w:val="-16"/>
          <w:sz w:val="24"/>
          <w:szCs w:val="24"/>
        </w:rPr>
        <w:t>XX</w:t>
      </w:r>
      <w:r>
        <w:rPr>
          <w:rFonts w:hint="eastAsia" w:ascii="仿宋_GB2312" w:hAnsi="仿宋_GB2312" w:eastAsia="仿宋_GB2312" w:cs="仿宋_GB2312"/>
          <w:spacing w:val="-14"/>
          <w:sz w:val="24"/>
          <w:szCs w:val="24"/>
        </w:rPr>
        <w:t xml:space="preserve"> </w:t>
      </w:r>
      <w:r>
        <w:rPr>
          <w:rFonts w:hint="eastAsia" w:ascii="仿宋_GB2312" w:hAnsi="仿宋_GB2312" w:eastAsia="仿宋_GB2312" w:cs="仿宋_GB2312"/>
          <w:spacing w:val="-16"/>
          <w:sz w:val="24"/>
          <w:szCs w:val="24"/>
        </w:rPr>
        <w:t>月</w:t>
      </w:r>
      <w:r>
        <w:rPr>
          <w:rFonts w:hint="eastAsia" w:ascii="仿宋_GB2312" w:hAnsi="仿宋_GB2312" w:eastAsia="仿宋_GB2312" w:cs="仿宋_GB2312"/>
          <w:spacing w:val="-41"/>
          <w:sz w:val="24"/>
          <w:szCs w:val="24"/>
        </w:rPr>
        <w:t xml:space="preserve"> </w:t>
      </w:r>
      <w:r>
        <w:rPr>
          <w:rFonts w:hint="eastAsia" w:ascii="仿宋_GB2312" w:hAnsi="仿宋_GB2312" w:eastAsia="仿宋_GB2312" w:cs="仿宋_GB2312"/>
          <w:spacing w:val="-16"/>
          <w:sz w:val="24"/>
          <w:szCs w:val="24"/>
        </w:rPr>
        <w:t>XX</w:t>
      </w:r>
      <w:r>
        <w:rPr>
          <w:rFonts w:hint="eastAsia" w:ascii="仿宋_GB2312" w:hAnsi="仿宋_GB2312" w:eastAsia="仿宋_GB2312" w:cs="仿宋_GB2312"/>
          <w:spacing w:val="16"/>
          <w:sz w:val="24"/>
          <w:szCs w:val="24"/>
        </w:rPr>
        <w:t xml:space="preserve"> </w:t>
      </w:r>
      <w:r>
        <w:rPr>
          <w:rFonts w:hint="eastAsia" w:ascii="仿宋_GB2312" w:hAnsi="仿宋_GB2312" w:eastAsia="仿宋_GB2312" w:cs="仿宋_GB2312"/>
          <w:spacing w:val="-16"/>
          <w:sz w:val="24"/>
          <w:szCs w:val="24"/>
        </w:rPr>
        <w:t>日</w:t>
      </w:r>
    </w:p>
    <w:p>
      <w:pPr>
        <w:adjustRightInd w:val="0"/>
        <w:sectPr>
          <w:pgSz w:w="16838" w:h="11906" w:orient="landscape"/>
          <w:pgMar w:top="1531" w:right="1985" w:bottom="1531" w:left="1871" w:header="851" w:footer="1588" w:gutter="0"/>
          <w:cols w:space="720" w:num="1"/>
          <w:docGrid w:type="linesAndChars" w:linePitch="590" w:charSpace="-849"/>
        </w:sectPr>
      </w:pPr>
    </w:p>
    <w:p>
      <w:pPr>
        <w:adjustRightInd w:val="0"/>
        <w:spacing w:line="240" w:lineRule="auto"/>
        <w:rPr>
          <w:rFonts w:hint="eastAsia" w:ascii="黑体" w:hAnsi="黑体" w:eastAsia="黑体" w:cs="黑体"/>
          <w:sz w:val="31"/>
          <w:szCs w:val="31"/>
        </w:rPr>
      </w:pPr>
      <w:r>
        <w:rPr>
          <w:rFonts w:hint="eastAsia" w:ascii="黑体" w:hAnsi="黑体" w:eastAsia="黑体" w:cs="黑体"/>
          <w:sz w:val="31"/>
          <w:szCs w:val="31"/>
        </w:rPr>
        <w:t>附件2</w:t>
      </w:r>
    </w:p>
    <w:p>
      <w:pPr>
        <w:adjustRightInd w:val="0"/>
        <w:spacing w:line="240" w:lineRule="auto"/>
        <w:jc w:val="center"/>
        <w:rPr>
          <w:rFonts w:hint="eastAsia" w:ascii="仿宋" w:hAnsi="仿宋" w:eastAsia="仿宋" w:cs="仿宋"/>
          <w:b/>
          <w:bCs/>
          <w:sz w:val="32"/>
          <w:szCs w:val="32"/>
        </w:rPr>
      </w:pPr>
      <w:r>
        <w:rPr>
          <w:rFonts w:hint="eastAsia" w:ascii="方正小标宋简体" w:hAnsi="方正小标宋简体" w:eastAsia="方正小标宋简体" w:cs="方正小标宋简体"/>
          <w:sz w:val="40"/>
          <w:szCs w:val="40"/>
        </w:rPr>
        <w:t>定标因素</w:t>
      </w:r>
    </w:p>
    <w:p>
      <w:pPr>
        <w:adjustRightInd w:val="0"/>
        <w:spacing w:line="240" w:lineRule="auto"/>
        <w:ind w:firstLine="612" w:firstLineChars="200"/>
        <w:rPr>
          <w:rFonts w:hint="eastAsia" w:ascii="黑体" w:hAnsi="黑体" w:eastAsia="黑体" w:cs="黑体"/>
          <w:b w:val="0"/>
          <w:bCs w:val="0"/>
          <w:sz w:val="31"/>
          <w:szCs w:val="31"/>
        </w:rPr>
      </w:pPr>
      <w:r>
        <w:rPr>
          <w:rFonts w:hint="eastAsia" w:ascii="黑体" w:hAnsi="黑体" w:eastAsia="黑体" w:cs="黑体"/>
          <w:b w:val="0"/>
          <w:bCs w:val="0"/>
          <w:sz w:val="31"/>
          <w:szCs w:val="31"/>
          <w:lang w:eastAsia="zh-CN"/>
        </w:rPr>
        <w:t>一、</w:t>
      </w:r>
      <w:r>
        <w:rPr>
          <w:rFonts w:hint="eastAsia" w:ascii="黑体" w:hAnsi="黑体" w:eastAsia="黑体" w:cs="黑体"/>
          <w:b w:val="0"/>
          <w:bCs w:val="0"/>
          <w:sz w:val="31"/>
          <w:szCs w:val="31"/>
        </w:rPr>
        <w:t>价格因素</w:t>
      </w:r>
    </w:p>
    <w:p>
      <w:pPr>
        <w:adjustRightInd w:val="0"/>
        <w:spacing w:line="240" w:lineRule="auto"/>
        <w:ind w:firstLine="612"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定标委员会对定标候选人投标报价进行分析，结合定标候选人报价中的综合单价、拟选用的材料、设备品牌等对报价的合理性及不平衡性进行评审。</w:t>
      </w:r>
    </w:p>
    <w:p>
      <w:pPr>
        <w:adjustRightInd w:val="0"/>
        <w:spacing w:line="240" w:lineRule="auto"/>
        <w:ind w:firstLine="612"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价格因素定标可以采用以下两种方式进行评审：</w:t>
      </w:r>
      <w:r>
        <w:rPr>
          <w:rFonts w:hint="eastAsia" w:ascii="仿宋_GB2312" w:hAnsi="仿宋_GB2312" w:cs="仿宋_GB2312"/>
          <w:sz w:val="31"/>
          <w:szCs w:val="31"/>
          <w:lang w:val="en-US" w:eastAsia="zh-CN"/>
        </w:rPr>
        <w:t>1.</w:t>
      </w:r>
      <w:r>
        <w:rPr>
          <w:rFonts w:hint="eastAsia" w:ascii="仿宋_GB2312" w:hAnsi="仿宋_GB2312" w:eastAsia="仿宋_GB2312" w:cs="仿宋_GB2312"/>
          <w:sz w:val="31"/>
          <w:szCs w:val="31"/>
        </w:rPr>
        <w:t>招标人可结合类似工程历史造价数据、市场价等在开标前设置本项目的市场预期价格，以此作为分析报价合理性的依据，也可作为定标委员会启动投标人澄清或答辩程序的依据。</w:t>
      </w:r>
      <w:r>
        <w:rPr>
          <w:rFonts w:hint="eastAsia" w:ascii="仿宋_GB2312" w:hAnsi="仿宋_GB2312" w:cs="仿宋_GB2312"/>
          <w:sz w:val="31"/>
          <w:szCs w:val="31"/>
          <w:lang w:val="en-US" w:eastAsia="zh-CN"/>
        </w:rPr>
        <w:t>2.</w:t>
      </w:r>
      <w:r>
        <w:rPr>
          <w:rFonts w:hint="eastAsia" w:ascii="仿宋_GB2312" w:hAnsi="仿宋_GB2312" w:eastAsia="仿宋_GB2312" w:cs="仿宋_GB2312"/>
          <w:sz w:val="31"/>
          <w:szCs w:val="31"/>
        </w:rPr>
        <w:t>将定标候选人投标报价横向比较，结合类似工程历史造价数据、市场价等，评判履约风险。</w:t>
      </w:r>
    </w:p>
    <w:p>
      <w:pPr>
        <w:adjustRightInd w:val="0"/>
        <w:spacing w:line="240" w:lineRule="auto"/>
        <w:ind w:firstLine="612"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招标人不得以市场预期价格为基准设定一个上下幅度范围作为判定中标与否的依据。招标人可将全生命周期成本纳入价格考察，并在同等条件下优先选择全生命周期内能源资源消耗最低、环境影响最小的报价。</w:t>
      </w:r>
    </w:p>
    <w:p>
      <w:pPr>
        <w:adjustRightInd w:val="0"/>
        <w:spacing w:line="240" w:lineRule="auto"/>
        <w:ind w:firstLine="612" w:firstLineChars="200"/>
        <w:jc w:val="left"/>
        <w:rPr>
          <w:rFonts w:hint="eastAsia" w:ascii="黑体" w:hAnsi="黑体" w:eastAsia="黑体" w:cs="黑体"/>
          <w:sz w:val="31"/>
          <w:szCs w:val="31"/>
        </w:rPr>
      </w:pPr>
      <w:r>
        <w:rPr>
          <w:rFonts w:hint="eastAsia" w:ascii="黑体" w:hAnsi="黑体" w:eastAsia="黑体" w:cs="黑体"/>
          <w:sz w:val="31"/>
          <w:szCs w:val="31"/>
          <w:lang w:eastAsia="zh-CN"/>
        </w:rPr>
        <w:t>二、</w:t>
      </w:r>
      <w:r>
        <w:rPr>
          <w:rFonts w:hint="eastAsia" w:ascii="黑体" w:hAnsi="黑体" w:eastAsia="黑体" w:cs="黑体"/>
          <w:sz w:val="31"/>
          <w:szCs w:val="31"/>
        </w:rPr>
        <w:t>方案因素</w:t>
      </w:r>
    </w:p>
    <w:p>
      <w:pPr>
        <w:adjustRightInd w:val="0"/>
        <w:spacing w:line="240" w:lineRule="auto"/>
        <w:ind w:firstLine="612"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定标委员会对定标候选人的方案进行评审。施工项目主要考虑安全控制措施、质量控制措施、绿色节能控制措施、进度控制措施等</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鼓励科技创新应用</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lang w:val="en-US" w:eastAsia="zh-CN"/>
        </w:rPr>
        <w:t>鼓励</w:t>
      </w:r>
      <w:r>
        <w:rPr>
          <w:rFonts w:hint="eastAsia" w:ascii="仿宋_GB2312" w:hAnsi="仿宋_GB2312" w:eastAsia="仿宋_GB2312" w:cs="仿宋_GB2312"/>
          <w:sz w:val="31"/>
          <w:szCs w:val="31"/>
        </w:rPr>
        <w:t>招标人提升工程项目的建造水平，将绿色建筑、装配式建筑（</w:t>
      </w:r>
      <w:r>
        <w:rPr>
          <w:rFonts w:hint="eastAsia" w:ascii="仿宋_GB2312" w:hAnsi="仿宋_GB2312" w:eastAsia="仿宋_GB2312" w:cs="仿宋_GB2312"/>
          <w:sz w:val="31"/>
          <w:szCs w:val="31"/>
          <w:lang w:val="en-US" w:eastAsia="zh-CN"/>
        </w:rPr>
        <w:t>含</w:t>
      </w:r>
      <w:r>
        <w:rPr>
          <w:rFonts w:hint="eastAsia" w:ascii="仿宋_GB2312" w:hAnsi="仿宋_GB2312" w:eastAsia="仿宋_GB2312" w:cs="仿宋_GB2312"/>
          <w:sz w:val="31"/>
          <w:szCs w:val="31"/>
        </w:rPr>
        <w:t>装配式装修、市政工业化、施工临设预制化）、建筑垃圾再生产品应用、智能建造等作为</w:t>
      </w:r>
      <w:r>
        <w:rPr>
          <w:rFonts w:hint="eastAsia" w:ascii="仿宋_GB2312" w:hAnsi="仿宋_GB2312" w:eastAsia="仿宋_GB2312" w:cs="仿宋_GB2312"/>
          <w:sz w:val="31"/>
          <w:szCs w:val="31"/>
          <w:lang w:val="en-US" w:eastAsia="zh-CN"/>
        </w:rPr>
        <w:t>方案</w:t>
      </w:r>
      <w:r>
        <w:rPr>
          <w:rFonts w:hint="eastAsia" w:ascii="仿宋_GB2312" w:hAnsi="仿宋_GB2312" w:eastAsia="仿宋_GB2312" w:cs="仿宋_GB2312"/>
          <w:sz w:val="31"/>
          <w:szCs w:val="31"/>
          <w:lang w:eastAsia="zh-CN"/>
        </w:rPr>
        <w:t>因素内容</w:t>
      </w:r>
      <w:r>
        <w:rPr>
          <w:rFonts w:hint="eastAsia" w:ascii="仿宋_GB2312" w:hAnsi="仿宋_GB2312" w:eastAsia="仿宋_GB2312" w:cs="仿宋_GB2312"/>
          <w:sz w:val="31"/>
          <w:szCs w:val="31"/>
        </w:rPr>
        <w:t>。</w:t>
      </w:r>
    </w:p>
    <w:p>
      <w:pPr>
        <w:adjustRightInd w:val="0"/>
        <w:spacing w:line="240" w:lineRule="auto"/>
        <w:ind w:firstLine="612"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勘察项目主要对勘察方案(勘察手段、方法及工艺)、勘察工作流程和相应的工期进度计划、勘察的难点及建议等进行评审。设计项目在满足限额设计以及安全、绿色、节能、环保要求的前提下重点对功能、技术、经济和美观等进行评审。监理项目主要对监理大纲的科学性、合理性、针对性、先进性等进行评审。</w:t>
      </w:r>
    </w:p>
    <w:p>
      <w:pPr>
        <w:adjustRightInd w:val="0"/>
        <w:spacing w:line="240" w:lineRule="auto"/>
        <w:ind w:firstLine="612" w:firstLineChars="200"/>
        <w:rPr>
          <w:rFonts w:hint="eastAsia" w:ascii="黑体" w:hAnsi="黑体" w:eastAsia="黑体" w:cs="黑体"/>
          <w:b w:val="0"/>
          <w:bCs w:val="0"/>
          <w:sz w:val="31"/>
          <w:szCs w:val="31"/>
          <w:lang w:eastAsia="zh-CN"/>
        </w:rPr>
      </w:pPr>
      <w:r>
        <w:rPr>
          <w:rFonts w:hint="eastAsia" w:ascii="黑体" w:hAnsi="黑体" w:eastAsia="黑体" w:cs="黑体"/>
          <w:b w:val="0"/>
          <w:bCs w:val="0"/>
          <w:sz w:val="31"/>
          <w:szCs w:val="31"/>
          <w:lang w:eastAsia="zh-CN"/>
        </w:rPr>
        <w:t>三、答辩因素</w:t>
      </w:r>
    </w:p>
    <w:p>
      <w:pPr>
        <w:adjustRightInd w:val="0"/>
        <w:spacing w:line="240" w:lineRule="auto"/>
        <w:ind w:firstLine="612"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定标委员会根据招标文件的规定，对定标候选人拟派项目团队成员的答辩情况进行评审，具体参加的答辩人员在招标文件中规定。</w:t>
      </w:r>
      <w:r>
        <w:rPr>
          <w:rFonts w:hint="eastAsia" w:ascii="仿宋_GB2312" w:hAnsi="仿宋_GB2312" w:eastAsia="仿宋_GB2312" w:cs="仿宋_GB2312"/>
          <w:sz w:val="31"/>
          <w:szCs w:val="31"/>
          <w:lang w:val="en-US" w:eastAsia="zh-CN"/>
        </w:rPr>
        <w:t>答辩题目、参考答案应由定标委员会现场确定，招标人及招标代理工作人员应做好现场保密工作，答辩题目、参考答案、答辩过程及定标过程等资料按交易平台相关要求归档保存。</w:t>
      </w:r>
    </w:p>
    <w:p>
      <w:pPr>
        <w:adjustRightInd w:val="0"/>
        <w:spacing w:line="240" w:lineRule="auto"/>
        <w:ind w:firstLine="612" w:firstLineChars="200"/>
        <w:rPr>
          <w:rFonts w:hint="eastAsia" w:ascii="黑体" w:hAnsi="黑体" w:eastAsia="黑体" w:cs="黑体"/>
          <w:b w:val="0"/>
          <w:bCs w:val="0"/>
          <w:sz w:val="31"/>
          <w:szCs w:val="31"/>
          <w:lang w:eastAsia="zh-CN"/>
        </w:rPr>
      </w:pPr>
      <w:r>
        <w:rPr>
          <w:rFonts w:hint="eastAsia" w:ascii="黑体" w:hAnsi="黑体" w:eastAsia="黑体" w:cs="黑体"/>
          <w:b w:val="0"/>
          <w:bCs w:val="0"/>
          <w:sz w:val="31"/>
          <w:szCs w:val="31"/>
          <w:lang w:eastAsia="zh-CN"/>
        </w:rPr>
        <w:t>四、团队因素</w:t>
      </w:r>
    </w:p>
    <w:p>
      <w:pPr>
        <w:adjustRightInd w:val="0"/>
        <w:spacing w:line="240" w:lineRule="auto"/>
        <w:ind w:firstLine="612"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招标人可根据工程项目特点，设置与工程建设相适应的团队因素，但不得要求投标人提供特定区域、行业、组织颁发的相关证件、证书或组织成员身份。</w:t>
      </w:r>
      <w:r>
        <w:rPr>
          <w:rFonts w:hint="eastAsia" w:ascii="仿宋_GB2312" w:hAnsi="仿宋_GB2312" w:eastAsia="仿宋_GB2312" w:cs="仿宋_GB2312"/>
          <w:sz w:val="31"/>
          <w:szCs w:val="31"/>
        </w:rPr>
        <w:t>定标委员会根据招标文件规定对定标候选人拟委派团队成员的综合能力进行评审。</w:t>
      </w:r>
    </w:p>
    <w:p>
      <w:pPr>
        <w:adjustRightInd w:val="0"/>
        <w:spacing w:line="240" w:lineRule="auto"/>
        <w:ind w:firstLine="612" w:firstLineChars="200"/>
        <w:rPr>
          <w:rFonts w:hint="eastAsia" w:ascii="黑体" w:hAnsi="黑体" w:eastAsia="黑体" w:cs="黑体"/>
          <w:b w:val="0"/>
          <w:bCs w:val="0"/>
          <w:sz w:val="31"/>
          <w:szCs w:val="31"/>
          <w:lang w:eastAsia="zh-CN"/>
        </w:rPr>
      </w:pPr>
      <w:r>
        <w:rPr>
          <w:rFonts w:hint="eastAsia" w:ascii="黑体" w:hAnsi="黑体" w:eastAsia="黑体" w:cs="黑体"/>
          <w:b w:val="0"/>
          <w:bCs w:val="0"/>
          <w:sz w:val="31"/>
          <w:szCs w:val="31"/>
          <w:lang w:eastAsia="zh-CN"/>
        </w:rPr>
        <w:t>五、性能因素</w:t>
      </w:r>
    </w:p>
    <w:p>
      <w:pPr>
        <w:adjustRightInd w:val="0"/>
        <w:spacing w:line="240" w:lineRule="auto"/>
        <w:ind w:firstLine="612" w:firstLineChars="200"/>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主要考虑定标候选人拟投材料和设备技术参数、性能、备品备件完善程度、维修保养等配套服务、对招标文件的响应程度以及定标候选人的技术水平等。不得将特定专利、商标、品牌、原产地或供应商的要求设置为定标因素。</w:t>
      </w:r>
    </w:p>
    <w:p>
      <w:pPr>
        <w:adjustRightInd w:val="0"/>
        <w:spacing w:line="240" w:lineRule="auto"/>
        <w:ind w:firstLine="612" w:firstLineChars="200"/>
        <w:rPr>
          <w:rFonts w:hint="eastAsia" w:ascii="黑体" w:hAnsi="黑体" w:eastAsia="黑体" w:cs="黑体"/>
          <w:b w:val="0"/>
          <w:bCs w:val="0"/>
          <w:sz w:val="31"/>
          <w:szCs w:val="31"/>
          <w:lang w:eastAsia="zh-CN"/>
        </w:rPr>
      </w:pPr>
      <w:r>
        <w:rPr>
          <w:rFonts w:hint="eastAsia" w:ascii="黑体" w:hAnsi="黑体" w:eastAsia="黑体" w:cs="黑体"/>
          <w:b w:val="0"/>
          <w:bCs w:val="0"/>
          <w:sz w:val="31"/>
          <w:szCs w:val="31"/>
          <w:lang w:eastAsia="zh-CN"/>
        </w:rPr>
        <w:t>六、资信因素</w:t>
      </w:r>
    </w:p>
    <w:p>
      <w:pPr>
        <w:adjustRightInd w:val="0"/>
        <w:spacing w:line="240" w:lineRule="auto"/>
        <w:ind w:firstLine="612" w:firstLineChars="200"/>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鼓励招标人支持投标人通过科技创新应用降低建造成本，并在合同中予以约定。定标委员会对定标候选人资信进行评审。资信因素包括业绩、奖项、财务指标、经济指标、工程研发能力、第三方信用评价等。不得将特定区域、特定行业业绩或奖项、特定行业组织成员身份、取得非强制性资质认证设置为定标因素。</w:t>
      </w:r>
    </w:p>
    <w:p>
      <w:pPr>
        <w:adjustRightInd w:val="0"/>
        <w:spacing w:line="240" w:lineRule="auto"/>
        <w:ind w:firstLine="612" w:firstLineChars="200"/>
        <w:rPr>
          <w:rFonts w:hint="eastAsia" w:ascii="黑体" w:hAnsi="黑体" w:eastAsia="黑体" w:cs="黑体"/>
          <w:b w:val="0"/>
          <w:bCs w:val="0"/>
          <w:sz w:val="31"/>
          <w:szCs w:val="31"/>
          <w:lang w:val="en-US" w:eastAsia="zh-CN"/>
        </w:rPr>
      </w:pPr>
      <w:r>
        <w:rPr>
          <w:rFonts w:hint="eastAsia" w:ascii="黑体" w:hAnsi="黑体" w:eastAsia="黑体" w:cs="黑体"/>
          <w:b w:val="0"/>
          <w:bCs w:val="0"/>
          <w:sz w:val="31"/>
          <w:szCs w:val="31"/>
          <w:lang w:val="en-US" w:eastAsia="zh-CN"/>
        </w:rPr>
        <w:t>七、服务因素</w:t>
      </w:r>
    </w:p>
    <w:p>
      <w:pPr>
        <w:adjustRightInd w:val="0"/>
        <w:spacing w:line="240" w:lineRule="auto"/>
        <w:ind w:firstLine="612"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主要考虑定标候选人履约能力、服务的主动性、响应时间、团队到岗履职能力、社会贡献度、定标候选人对项目团队检查、考核等公司内控体系，重点考核履约能力。</w:t>
      </w:r>
    </w:p>
    <w:p>
      <w:pPr>
        <w:adjustRightInd w:val="0"/>
        <w:spacing w:line="240" w:lineRule="auto"/>
        <w:ind w:firstLine="612" w:firstLineChars="200"/>
        <w:rPr>
          <w:rFonts w:hint="eastAsia" w:ascii="黑体" w:hAnsi="黑体" w:eastAsia="黑体" w:cs="黑体"/>
          <w:b w:val="0"/>
          <w:bCs w:val="0"/>
          <w:sz w:val="31"/>
          <w:szCs w:val="31"/>
          <w:lang w:val="en-US" w:eastAsia="zh-CN"/>
        </w:rPr>
      </w:pPr>
      <w:r>
        <w:rPr>
          <w:rFonts w:hint="eastAsia" w:ascii="黑体" w:hAnsi="黑体" w:eastAsia="黑体" w:cs="黑体"/>
          <w:b w:val="0"/>
          <w:bCs w:val="0"/>
          <w:sz w:val="31"/>
          <w:szCs w:val="31"/>
          <w:lang w:val="en-US" w:eastAsia="zh-CN"/>
        </w:rPr>
        <w:t>八、质量安全文明施工目标</w:t>
      </w:r>
    </w:p>
    <w:p>
      <w:pPr>
        <w:adjustRightInd w:val="0"/>
        <w:spacing w:line="240" w:lineRule="auto"/>
        <w:ind w:firstLine="612"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招标人可根据项目建设需要，按照省、市要求，确定项目建设质量、安全文明施工目标。定标委员会根据相关目标，考核定标候选人满足条件能力。</w:t>
      </w:r>
    </w:p>
    <w:p>
      <w:pPr>
        <w:adjustRightInd w:val="0"/>
      </w:pPr>
    </w:p>
    <w:p>
      <w:pPr>
        <w:adjustRightInd w:val="0"/>
      </w:pPr>
    </w:p>
    <w:p>
      <w:pPr>
        <w:adjustRightInd w:val="0"/>
        <w:rPr>
          <w:rFonts w:hint="eastAsia"/>
        </w:rPr>
        <w:sectPr>
          <w:pgSz w:w="11906" w:h="16838"/>
          <w:pgMar w:top="1985" w:right="1531" w:bottom="1871" w:left="1531" w:header="851" w:footer="1588" w:gutter="0"/>
          <w:cols w:space="720" w:num="1"/>
          <w:docGrid w:type="linesAndChars" w:linePitch="590" w:charSpace="-849"/>
        </w:sectPr>
      </w:pPr>
    </w:p>
    <w:tbl>
      <w:tblPr>
        <w:tblStyle w:val="8"/>
        <w:tblpPr w:horzAnchor="margin" w:tblpXSpec="center" w:tblpYSpec="bottom"/>
        <w:tblOverlap w:val="never"/>
        <w:tblW w:w="8845" w:type="dxa"/>
        <w:tblInd w:w="0" w:type="dxa"/>
        <w:tblBorders>
          <w:top w:val="single" w:color="auto" w:sz="8" w:space="0"/>
          <w:left w:val="none" w:color="auto" w:sz="0" w:space="0"/>
          <w:bottom w:val="single" w:color="auto" w:sz="8" w:space="0"/>
          <w:right w:val="none" w:color="auto" w:sz="0" w:space="0"/>
          <w:insideH w:val="single" w:color="auto" w:sz="6" w:space="0"/>
          <w:insideV w:val="single" w:color="auto" w:sz="4" w:space="0"/>
        </w:tblBorders>
        <w:tblLayout w:type="fixed"/>
        <w:tblCellMar>
          <w:top w:w="0" w:type="dxa"/>
          <w:left w:w="0" w:type="dxa"/>
          <w:bottom w:w="0" w:type="dxa"/>
          <w:right w:w="0" w:type="dxa"/>
        </w:tblCellMar>
      </w:tblPr>
      <w:tblGrid>
        <w:gridCol w:w="8845"/>
      </w:tblGrid>
      <w:tr>
        <w:tblPrEx>
          <w:tblBorders>
            <w:top w:val="single" w:color="auto" w:sz="8" w:space="0"/>
            <w:left w:val="none" w:color="auto" w:sz="0" w:space="0"/>
            <w:bottom w:val="single" w:color="auto" w:sz="8" w:space="0"/>
            <w:right w:val="none" w:color="auto" w:sz="0" w:space="0"/>
            <w:insideH w:val="single" w:color="auto" w:sz="6" w:space="0"/>
            <w:insideV w:val="single" w:color="auto" w:sz="4" w:space="0"/>
          </w:tblBorders>
          <w:tblLayout w:type="fixed"/>
          <w:tblCellMar>
            <w:top w:w="0" w:type="dxa"/>
            <w:left w:w="0" w:type="dxa"/>
            <w:bottom w:w="0" w:type="dxa"/>
            <w:right w:w="0" w:type="dxa"/>
          </w:tblCellMar>
        </w:tblPrEx>
        <w:trPr>
          <w:trHeight w:val="578" w:hRule="exact"/>
        </w:trPr>
        <w:tc>
          <w:tcPr>
            <w:tcW w:w="8845" w:type="dxa"/>
            <w:vAlign w:val="top"/>
          </w:tcPr>
          <w:p>
            <w:pPr>
              <w:adjustRightInd w:val="0"/>
              <w:ind w:left="306" w:leftChars="100" w:right="306" w:rightChars="100"/>
              <w:rPr>
                <w:rFonts w:hint="eastAsia"/>
                <w:sz w:val="28"/>
                <w:szCs w:val="28"/>
              </w:rPr>
            </w:pPr>
            <w:r>
              <w:rPr>
                <w:rFonts w:hint="eastAsia"/>
                <w:sz w:val="28"/>
                <w:szCs w:val="28"/>
              </w:rPr>
              <w:t>三明市住房和城乡建设局办公室            202</w:t>
            </w:r>
            <w:r>
              <w:rPr>
                <w:rFonts w:hint="eastAsia"/>
                <w:sz w:val="28"/>
                <w:szCs w:val="28"/>
                <w:lang w:val="en-US" w:eastAsia="zh-CN"/>
              </w:rPr>
              <w:t>4</w:t>
            </w:r>
            <w:r>
              <w:rPr>
                <w:rFonts w:hint="eastAsia"/>
                <w:sz w:val="28"/>
                <w:szCs w:val="28"/>
              </w:rPr>
              <w:t>年</w:t>
            </w:r>
            <w:r>
              <w:rPr>
                <w:rFonts w:hint="eastAsia" w:eastAsia="宋体"/>
                <w:sz w:val="28"/>
                <w:szCs w:val="28"/>
                <w:lang w:val="en-US" w:eastAsia="zh-CN"/>
              </w:rPr>
              <w:t>9</w:t>
            </w:r>
            <w:r>
              <w:rPr>
                <w:rFonts w:hint="eastAsia"/>
                <w:sz w:val="28"/>
                <w:szCs w:val="28"/>
              </w:rPr>
              <w:t>月</w:t>
            </w:r>
            <w:r>
              <w:rPr>
                <w:rFonts w:hint="eastAsia" w:eastAsia="宋体"/>
                <w:sz w:val="28"/>
                <w:szCs w:val="28"/>
              </w:rPr>
              <w:t>2</w:t>
            </w:r>
            <w:r>
              <w:rPr>
                <w:rFonts w:hint="eastAsia" w:eastAsia="宋体"/>
                <w:sz w:val="28"/>
                <w:szCs w:val="28"/>
                <w:lang w:val="en-US" w:eastAsia="zh-CN"/>
              </w:rPr>
              <w:t>7</w:t>
            </w:r>
            <w:r>
              <w:rPr>
                <w:rFonts w:hint="eastAsia"/>
                <w:sz w:val="28"/>
                <w:szCs w:val="28"/>
              </w:rPr>
              <w:t>日印发</w:t>
            </w:r>
          </w:p>
        </w:tc>
      </w:tr>
    </w:tbl>
    <w:p>
      <w:pPr>
        <w:adjustRightInd w:val="0"/>
        <w:rPr>
          <w:rFonts w:hint="eastAsia"/>
        </w:rPr>
      </w:pPr>
    </w:p>
    <w:sectPr>
      <w:pgSz w:w="11906" w:h="16838"/>
      <w:pgMar w:top="1985" w:right="1531" w:bottom="1871" w:left="1531" w:header="851" w:footer="1588"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snapToGrid/>
      <w:ind w:left="310" w:leftChars="100" w:right="310" w:rightChars="100"/>
      <w:rPr>
        <w:rStyle w:val="7"/>
        <w:rFonts w:hint="eastAsia" w:eastAsia="宋体"/>
        <w:sz w:val="28"/>
        <w:szCs w:val="28"/>
      </w:rPr>
    </w:pPr>
    <w:r>
      <w:rPr>
        <w:rStyle w:val="7"/>
        <w:rFonts w:hint="eastAsia" w:eastAsia="宋体"/>
        <w:sz w:val="28"/>
        <w:szCs w:val="28"/>
      </w:rPr>
      <w:t xml:space="preserve">— </w:t>
    </w:r>
    <w:r>
      <w:rPr>
        <w:rFonts w:eastAsia="宋体"/>
        <w:sz w:val="28"/>
        <w:szCs w:val="28"/>
      </w:rPr>
      <w:fldChar w:fldCharType="begin"/>
    </w:r>
    <w:r>
      <w:rPr>
        <w:rStyle w:val="7"/>
        <w:rFonts w:eastAsia="宋体"/>
        <w:sz w:val="28"/>
        <w:szCs w:val="28"/>
      </w:rPr>
      <w:instrText xml:space="preserve">PAGE  </w:instrText>
    </w:r>
    <w:r>
      <w:rPr>
        <w:rFonts w:eastAsia="宋体"/>
        <w:sz w:val="28"/>
        <w:szCs w:val="28"/>
      </w:rPr>
      <w:fldChar w:fldCharType="separate"/>
    </w:r>
    <w:r>
      <w:rPr>
        <w:rStyle w:val="7"/>
        <w:rFonts w:eastAsia="宋体"/>
        <w:sz w:val="28"/>
        <w:szCs w:val="28"/>
      </w:rPr>
      <w:t>1</w:t>
    </w:r>
    <w:r>
      <w:rPr>
        <w:rFonts w:eastAsia="宋体"/>
        <w:sz w:val="28"/>
        <w:szCs w:val="28"/>
      </w:rPr>
      <w:fldChar w:fldCharType="end"/>
    </w:r>
    <w:r>
      <w:rPr>
        <w:rStyle w:val="7"/>
        <w:rFonts w:hint="eastAsia"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4</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90"/>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DFF4EFE"/>
    <w:rsid w:val="10D25522"/>
    <w:rsid w:val="2DF7D5B5"/>
    <w:rsid w:val="328413E9"/>
    <w:rsid w:val="464A346A"/>
    <w:rsid w:val="5EEFD121"/>
    <w:rsid w:val="5FDBAD97"/>
    <w:rsid w:val="79BF2131"/>
    <w:rsid w:val="7B4EE07C"/>
    <w:rsid w:val="7D9FB5B8"/>
    <w:rsid w:val="7F4BAFA9"/>
    <w:rsid w:val="7F798181"/>
    <w:rsid w:val="B3F95AD7"/>
    <w:rsid w:val="DB0767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宋体"/>
      <w:kern w:val="2"/>
      <w:sz w:val="31"/>
      <w:szCs w:val="31"/>
      <w:lang w:val="en-US" w:eastAsia="zh-CN" w:bidi="ar-SA"/>
    </w:rPr>
  </w:style>
  <w:style w:type="character" w:default="1" w:styleId="5">
    <w:name w:val="Default Paragraph Font"/>
    <w:qFormat/>
    <w:uiPriority w:val="0"/>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明建〔2022〕×号（下行文）.dot</Template>
  <Pages>4</Pages>
  <Words>127</Words>
  <Characters>142</Characters>
  <Lines>1</Lines>
  <Paragraphs>1</Paragraphs>
  <TotalTime>4</TotalTime>
  <ScaleCrop>false</ScaleCrop>
  <LinksUpToDate>false</LinksUpToDate>
  <CharactersWithSpaces>162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2021-12-31T23:07:00Z</dcterms:created>
  <dc:creator>Administrator</dc:creator>
  <cp:lastModifiedBy>林惠芬</cp:lastModifiedBy>
  <dcterms:modified xsi:type="dcterms:W3CDTF">2024-09-27T08:45:20Z</dcterms:modified>
  <dc:title>明政文〔2013〕号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CEC66671A9B671DE9760F66684891DD7</vt:lpwstr>
  </property>
</Properties>
</file>